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6169A" w14:textId="77777777" w:rsidR="00FF09D7" w:rsidRPr="009A549D" w:rsidRDefault="00FF09D7" w:rsidP="00FF09D7">
      <w:pPr>
        <w:rPr>
          <w:b/>
          <w:i/>
          <w:sz w:val="22"/>
          <w:szCs w:val="22"/>
        </w:rPr>
      </w:pPr>
      <w:r w:rsidRPr="009A549D">
        <w:rPr>
          <w:b/>
          <w:i/>
          <w:sz w:val="22"/>
          <w:szCs w:val="22"/>
        </w:rPr>
        <w:t xml:space="preserve">NAZIV OBVEZNIKA : SVEUČILIŠTE JOSIPA JURJA STROSSMAYERA U OSIJEKU,  MEDICINSKI FAKULTET OSIJEK  </w:t>
      </w:r>
    </w:p>
    <w:p w14:paraId="20EDD5C2" w14:textId="77777777" w:rsidR="00FF09D7" w:rsidRPr="009A549D" w:rsidRDefault="00FF09D7" w:rsidP="00FF09D7">
      <w:pPr>
        <w:rPr>
          <w:b/>
          <w:i/>
          <w:sz w:val="22"/>
          <w:szCs w:val="22"/>
        </w:rPr>
      </w:pPr>
      <w:r w:rsidRPr="009A549D">
        <w:rPr>
          <w:b/>
          <w:i/>
          <w:sz w:val="22"/>
          <w:szCs w:val="22"/>
        </w:rPr>
        <w:t xml:space="preserve">SJEDIŠTE OBVEZNIKA: OSIJEK                                                  </w:t>
      </w:r>
    </w:p>
    <w:p w14:paraId="5F2E35B6" w14:textId="77777777" w:rsidR="00FF09D7" w:rsidRPr="009A549D" w:rsidRDefault="00FF09D7" w:rsidP="00FF09D7">
      <w:pPr>
        <w:rPr>
          <w:b/>
          <w:i/>
          <w:sz w:val="22"/>
          <w:szCs w:val="22"/>
        </w:rPr>
      </w:pPr>
      <w:r w:rsidRPr="009A549D">
        <w:rPr>
          <w:b/>
          <w:i/>
          <w:sz w:val="22"/>
          <w:szCs w:val="22"/>
        </w:rPr>
        <w:t xml:space="preserve">ADRESA SJEDIŠTA:JOSIPA HUTTLERA 4                                                 </w:t>
      </w:r>
    </w:p>
    <w:p w14:paraId="0ACF76D7" w14:textId="77777777" w:rsidR="00FF09D7" w:rsidRPr="009A549D" w:rsidRDefault="00FF09D7" w:rsidP="00FF09D7">
      <w:pPr>
        <w:rPr>
          <w:b/>
          <w:i/>
          <w:sz w:val="22"/>
          <w:szCs w:val="22"/>
        </w:rPr>
      </w:pPr>
      <w:r w:rsidRPr="009A549D">
        <w:rPr>
          <w:b/>
          <w:i/>
          <w:sz w:val="22"/>
          <w:szCs w:val="22"/>
        </w:rPr>
        <w:t xml:space="preserve">RAZINA : 11                                                                                    </w:t>
      </w:r>
    </w:p>
    <w:p w14:paraId="540EC2E9" w14:textId="77777777" w:rsidR="00FF09D7" w:rsidRPr="009A549D" w:rsidRDefault="00FF09D7" w:rsidP="00FF09D7">
      <w:pPr>
        <w:rPr>
          <w:b/>
          <w:i/>
          <w:sz w:val="22"/>
          <w:szCs w:val="22"/>
        </w:rPr>
      </w:pPr>
      <w:r w:rsidRPr="009A549D">
        <w:rPr>
          <w:b/>
          <w:i/>
          <w:sz w:val="22"/>
          <w:szCs w:val="22"/>
        </w:rPr>
        <w:t xml:space="preserve">RAZDJEL: 080                       </w:t>
      </w:r>
    </w:p>
    <w:p w14:paraId="5558564F" w14:textId="77777777" w:rsidR="00FF09D7" w:rsidRPr="009A549D" w:rsidRDefault="00FF09D7" w:rsidP="00FF09D7">
      <w:pPr>
        <w:rPr>
          <w:b/>
          <w:i/>
          <w:sz w:val="22"/>
          <w:szCs w:val="22"/>
        </w:rPr>
      </w:pPr>
      <w:r w:rsidRPr="009A549D">
        <w:rPr>
          <w:b/>
          <w:i/>
          <w:sz w:val="22"/>
          <w:szCs w:val="22"/>
        </w:rPr>
        <w:t>BROJ RKP :22849</w:t>
      </w:r>
    </w:p>
    <w:p w14:paraId="38F40398" w14:textId="77777777" w:rsidR="00FF09D7" w:rsidRPr="009A549D" w:rsidRDefault="00FF09D7" w:rsidP="00FF09D7">
      <w:pPr>
        <w:rPr>
          <w:b/>
          <w:i/>
          <w:sz w:val="22"/>
          <w:szCs w:val="22"/>
        </w:rPr>
      </w:pPr>
      <w:r w:rsidRPr="009A549D">
        <w:rPr>
          <w:b/>
          <w:i/>
          <w:sz w:val="22"/>
          <w:szCs w:val="22"/>
        </w:rPr>
        <w:t xml:space="preserve">MATIČNI BROJ : 01388142     </w:t>
      </w:r>
    </w:p>
    <w:p w14:paraId="043AB178" w14:textId="77777777" w:rsidR="00FF09D7" w:rsidRPr="009A549D" w:rsidRDefault="00FF09D7" w:rsidP="00FF09D7">
      <w:pPr>
        <w:rPr>
          <w:b/>
          <w:i/>
          <w:sz w:val="22"/>
          <w:szCs w:val="22"/>
        </w:rPr>
      </w:pPr>
      <w:r w:rsidRPr="009A549D">
        <w:rPr>
          <w:b/>
          <w:i/>
          <w:sz w:val="22"/>
          <w:szCs w:val="22"/>
        </w:rPr>
        <w:t xml:space="preserve">OIB: 16214165873    </w:t>
      </w:r>
    </w:p>
    <w:p w14:paraId="5AB6F480" w14:textId="77777777" w:rsidR="00FF09D7" w:rsidRPr="009A549D" w:rsidRDefault="00FF09D7" w:rsidP="00FF09D7">
      <w:pPr>
        <w:rPr>
          <w:b/>
          <w:i/>
          <w:sz w:val="22"/>
          <w:szCs w:val="22"/>
        </w:rPr>
      </w:pPr>
      <w:r w:rsidRPr="009A549D">
        <w:rPr>
          <w:b/>
          <w:i/>
          <w:sz w:val="22"/>
          <w:szCs w:val="22"/>
        </w:rPr>
        <w:t xml:space="preserve">ŠIFRA DJELATNOSTI :8542                                   </w:t>
      </w:r>
    </w:p>
    <w:p w14:paraId="37CEBD46" w14:textId="77777777" w:rsidR="00FF09D7" w:rsidRDefault="00FF09D7" w:rsidP="00FF09D7">
      <w:pPr>
        <w:jc w:val="center"/>
        <w:rPr>
          <w:b/>
        </w:rPr>
      </w:pPr>
    </w:p>
    <w:p w14:paraId="113FFA0E" w14:textId="77777777" w:rsidR="00FF09D7" w:rsidRDefault="00FF09D7" w:rsidP="00FF09D7">
      <w:pPr>
        <w:jc w:val="center"/>
        <w:rPr>
          <w:b/>
        </w:rPr>
      </w:pPr>
    </w:p>
    <w:p w14:paraId="5E689379" w14:textId="77777777" w:rsidR="00FF09D7" w:rsidRPr="001058BA" w:rsidRDefault="00FF09D7" w:rsidP="00FF09D7">
      <w:pPr>
        <w:jc w:val="center"/>
        <w:rPr>
          <w:b/>
        </w:rPr>
      </w:pPr>
      <w:r w:rsidRPr="001058BA">
        <w:rPr>
          <w:b/>
        </w:rPr>
        <w:t xml:space="preserve">OBRAZLOŽENJE  </w:t>
      </w:r>
      <w:r>
        <w:rPr>
          <w:b/>
        </w:rPr>
        <w:t xml:space="preserve">OPĆEG DIJELA </w:t>
      </w:r>
      <w:r w:rsidRPr="001058BA">
        <w:rPr>
          <w:b/>
        </w:rPr>
        <w:t>FINANCIJSKOG PLANA</w:t>
      </w:r>
    </w:p>
    <w:p w14:paraId="6CEE5F1F" w14:textId="77777777" w:rsidR="00FF09D7" w:rsidRPr="001058BA" w:rsidRDefault="00FF09D7" w:rsidP="00FF09D7">
      <w:pPr>
        <w:jc w:val="center"/>
        <w:rPr>
          <w:b/>
        </w:rPr>
      </w:pPr>
      <w:r w:rsidRPr="001058BA">
        <w:rPr>
          <w:b/>
        </w:rPr>
        <w:t>MEDICINSKOG FAKULTETA</w:t>
      </w:r>
    </w:p>
    <w:p w14:paraId="0FC4241F" w14:textId="77777777" w:rsidR="00FF09D7" w:rsidRPr="001058BA" w:rsidRDefault="00FF09D7" w:rsidP="00FF09D7">
      <w:pPr>
        <w:jc w:val="center"/>
        <w:rPr>
          <w:b/>
        </w:rPr>
      </w:pPr>
      <w:r w:rsidRPr="001058BA">
        <w:rPr>
          <w:b/>
        </w:rPr>
        <w:t>SVEUČILIŠTA J.J. STROSSMAYERA U OSIJEKU</w:t>
      </w:r>
    </w:p>
    <w:p w14:paraId="72AA767A" w14:textId="2A11854B" w:rsidR="00FF09D7" w:rsidRPr="001058BA" w:rsidRDefault="00FF09D7" w:rsidP="00FF09D7">
      <w:pPr>
        <w:jc w:val="center"/>
        <w:rPr>
          <w:b/>
        </w:rPr>
      </w:pPr>
      <w:r w:rsidRPr="001058BA">
        <w:rPr>
          <w:b/>
        </w:rPr>
        <w:t>ZA RAZDOBLJE 202</w:t>
      </w:r>
      <w:r w:rsidR="006F5A04">
        <w:rPr>
          <w:b/>
        </w:rPr>
        <w:t>5</w:t>
      </w:r>
      <w:r w:rsidRPr="001058BA">
        <w:rPr>
          <w:b/>
        </w:rPr>
        <w:t>.</w:t>
      </w:r>
      <w:r w:rsidR="00226677">
        <w:rPr>
          <w:b/>
        </w:rPr>
        <w:t xml:space="preserve"> </w:t>
      </w:r>
      <w:r w:rsidRPr="001058BA">
        <w:rPr>
          <w:b/>
        </w:rPr>
        <w:t>-</w:t>
      </w:r>
      <w:r w:rsidR="00226677">
        <w:rPr>
          <w:b/>
        </w:rPr>
        <w:t xml:space="preserve"> </w:t>
      </w:r>
      <w:r w:rsidRPr="001058BA">
        <w:rPr>
          <w:b/>
        </w:rPr>
        <w:t>202</w:t>
      </w:r>
      <w:r w:rsidR="007F766E">
        <w:rPr>
          <w:b/>
        </w:rPr>
        <w:t>7</w:t>
      </w:r>
      <w:r w:rsidRPr="001058BA">
        <w:rPr>
          <w:b/>
        </w:rPr>
        <w:t>.</w:t>
      </w:r>
    </w:p>
    <w:p w14:paraId="10900F86" w14:textId="77777777" w:rsidR="00FF09D7" w:rsidRPr="001058BA" w:rsidRDefault="00FF09D7" w:rsidP="00FF09D7"/>
    <w:p w14:paraId="01B03C0F" w14:textId="77777777" w:rsidR="00FF09D7" w:rsidRDefault="00FF09D7" w:rsidP="00FF09D7">
      <w:r>
        <w:t xml:space="preserve">Obrazloženjem općeg dijela financijskog plana daje se opća slika financijskog plana kroz obrazloženje ukupnih prihoda i primitaka, </w:t>
      </w:r>
      <w:r w:rsidR="003A7BE5">
        <w:t>rashoda</w:t>
      </w:r>
      <w:r>
        <w:t xml:space="preserve"> i izdataka, prijenosa sredstava iz prethodne godine i odnos u slijedeću godinu, kao i stanje ukupnih i dospjelih obveza.</w:t>
      </w:r>
    </w:p>
    <w:p w14:paraId="60FCBDA6" w14:textId="77777777" w:rsidR="00FF09D7" w:rsidRDefault="00FF09D7" w:rsidP="00FF09D7"/>
    <w:p w14:paraId="5B047DF8" w14:textId="77777777" w:rsidR="00FF09D7" w:rsidRPr="001058BA" w:rsidRDefault="00FF09D7" w:rsidP="00FF09D7">
      <w:r w:rsidRPr="001058BA">
        <w:t>Prihodi za financiranje rashoda planirani su primjenom financijskih pokazatelja iz uputa za izradu proračuna. Od tako dobivenih vrijednosti prihoda predvidjeli smo namjenske rashode koji se planiraju na osnovi potrošnje tekuće godine, a odnose se na naknade troškova za zaposlene, na troškove energije,  prijevoz studenata,  rashode za usluge,  usluge tekućeg i investicijskog održavanja, rashode za zdravstvene preglede zaposlenika, intelektualne usluge, nabavke</w:t>
      </w:r>
      <w:r>
        <w:t xml:space="preserve"> uredske i laboratorijske opreme, ulaganja u računalne programe, kao i u dodatna ulaganja u zgradu fakulteta, a sve u svrhu poboljšanja uvjeta i kvalitete odvijanja nastavnih procesa.</w:t>
      </w:r>
    </w:p>
    <w:p w14:paraId="56617CD1" w14:textId="77777777" w:rsidR="00FF09D7" w:rsidRDefault="00FF09D7" w:rsidP="00FF09D7"/>
    <w:p w14:paraId="74FE4313" w14:textId="77777777" w:rsidR="00FF09D7" w:rsidRDefault="00FF09D7" w:rsidP="00FF09D7">
      <w:r w:rsidRPr="001058BA">
        <w:t>Svi prihodi i rashodi planirani su po izvorima i aktivnostima .</w:t>
      </w:r>
    </w:p>
    <w:p w14:paraId="59603858" w14:textId="77777777" w:rsidR="00FF09D7" w:rsidRDefault="00FF09D7" w:rsidP="00FF09D7"/>
    <w:p w14:paraId="5347A0EA" w14:textId="77777777" w:rsidR="003A7BE5" w:rsidRDefault="003A7BE5" w:rsidP="00FF09D7"/>
    <w:p w14:paraId="7DF52452" w14:textId="77777777" w:rsidR="00FF09D7" w:rsidRPr="00DB78B1" w:rsidRDefault="00FF09D7" w:rsidP="00FF09D7">
      <w:pPr>
        <w:rPr>
          <w:b/>
        </w:rPr>
      </w:pPr>
      <w:r w:rsidRPr="00DB78B1">
        <w:rPr>
          <w:b/>
        </w:rPr>
        <w:t>PRIHODI  I  PRIMICI</w:t>
      </w:r>
    </w:p>
    <w:p w14:paraId="407F4C89" w14:textId="77777777" w:rsidR="00FF09D7" w:rsidRDefault="00FF09D7" w:rsidP="00FF09D7"/>
    <w:p w14:paraId="6EA7E93A" w14:textId="7C306574" w:rsidR="00FF09D7" w:rsidRDefault="00FF09D7" w:rsidP="00FF09D7">
      <w:r>
        <w:t>Ukupni prihodi za 202</w:t>
      </w:r>
      <w:r w:rsidR="007F766E">
        <w:t>5</w:t>
      </w:r>
      <w:r>
        <w:t xml:space="preserve">. godinu planirani su u ukupnom iznosu od </w:t>
      </w:r>
      <w:r w:rsidR="00BD0845">
        <w:t>6.098.367</w:t>
      </w:r>
      <w:r>
        <w:t xml:space="preserve"> EUR, i to po slijedećim izvorima financiranja:</w:t>
      </w:r>
    </w:p>
    <w:p w14:paraId="3AAB3E85" w14:textId="77777777" w:rsidR="00FF09D7" w:rsidRDefault="00FF09D7" w:rsidP="00FF09D7"/>
    <w:p w14:paraId="568A563F" w14:textId="6C1D3A2D" w:rsidR="00FF09D7" w:rsidRDefault="00FF09D7" w:rsidP="00FF09D7">
      <w:r>
        <w:t>Izvor 11 – Opći prihodi i primici</w:t>
      </w:r>
      <w:r w:rsidR="00252063">
        <w:t xml:space="preserve">  u ukupnim iznosu od</w:t>
      </w:r>
      <w:r w:rsidR="002B77A5">
        <w:t xml:space="preserve"> 4</w:t>
      </w:r>
      <w:r w:rsidR="005D7375">
        <w:t>.4</w:t>
      </w:r>
      <w:r w:rsidR="00BD0845">
        <w:t>32</w:t>
      </w:r>
      <w:r w:rsidR="005D7375">
        <w:t>.</w:t>
      </w:r>
      <w:r w:rsidR="00BD0845">
        <w:t>783</w:t>
      </w:r>
      <w:r>
        <w:t xml:space="preserve"> EUR</w:t>
      </w:r>
    </w:p>
    <w:p w14:paraId="141B983D" w14:textId="2A45E42D" w:rsidR="00FF09D7" w:rsidRDefault="00FF09D7" w:rsidP="00FF09D7">
      <w:r>
        <w:t>Izvor 31 – Vlastiti</w:t>
      </w:r>
      <w:r w:rsidR="00252063">
        <w:t xml:space="preserve"> prihodi  u ukupnom iznosu od </w:t>
      </w:r>
      <w:r w:rsidR="00BD0845">
        <w:t>106.000</w:t>
      </w:r>
      <w:r>
        <w:t xml:space="preserve"> EUR</w:t>
      </w:r>
    </w:p>
    <w:p w14:paraId="01AC1E7A" w14:textId="3749AFCE" w:rsidR="00FF09D7" w:rsidRDefault="00FF09D7" w:rsidP="00FF09D7">
      <w:r>
        <w:t xml:space="preserve">Izvor 43 – Namjenski prihodi i primici  u ukupnom iznosu od </w:t>
      </w:r>
      <w:r w:rsidR="00593BE5">
        <w:t>1.4</w:t>
      </w:r>
      <w:r w:rsidR="00BD0845">
        <w:t>22</w:t>
      </w:r>
      <w:r w:rsidR="00593BE5">
        <w:t>.</w:t>
      </w:r>
      <w:r w:rsidR="00BD0845">
        <w:t>70</w:t>
      </w:r>
      <w:r w:rsidR="00593BE5">
        <w:t xml:space="preserve">0 </w:t>
      </w:r>
      <w:r>
        <w:t>EUR</w:t>
      </w:r>
    </w:p>
    <w:p w14:paraId="4319D848" w14:textId="351C895C" w:rsidR="00FF09D7" w:rsidRDefault="00FF09D7" w:rsidP="00FF09D7">
      <w:r>
        <w:t>Izvor 52 – Ostale p</w:t>
      </w:r>
      <w:r w:rsidR="00850902">
        <w:t>o</w:t>
      </w:r>
      <w:r w:rsidR="00252063">
        <w:t xml:space="preserve">moći u ukupnom iznosu od </w:t>
      </w:r>
      <w:r w:rsidR="00BD0845">
        <w:t>132.484</w:t>
      </w:r>
      <w:r>
        <w:t xml:space="preserve"> EUR</w:t>
      </w:r>
    </w:p>
    <w:p w14:paraId="518B1135" w14:textId="77ED0342" w:rsidR="00FF09D7" w:rsidRDefault="00FF09D7" w:rsidP="00FF09D7">
      <w:r>
        <w:t>Izvor 61 – Dona</w:t>
      </w:r>
      <w:r w:rsidR="00252063">
        <w:t xml:space="preserve">cije , u ukupnom iznosu od </w:t>
      </w:r>
      <w:r w:rsidR="00BD0845">
        <w:t>4.4</w:t>
      </w:r>
      <w:r w:rsidR="00B0170E">
        <w:t>00</w:t>
      </w:r>
      <w:r>
        <w:t xml:space="preserve"> EUR</w:t>
      </w:r>
    </w:p>
    <w:p w14:paraId="5F2000EF" w14:textId="77777777" w:rsidR="00FF09D7" w:rsidRDefault="00FF09D7" w:rsidP="00FF09D7"/>
    <w:p w14:paraId="69D0B321" w14:textId="3EA7E6AC" w:rsidR="00FF09D7" w:rsidRDefault="00FF09D7" w:rsidP="00FF09D7">
      <w:r>
        <w:t xml:space="preserve">U odnosu na prošlu godinu </w:t>
      </w:r>
      <w:r w:rsidR="000B5F9E">
        <w:t xml:space="preserve">planirani </w:t>
      </w:r>
      <w:r>
        <w:t xml:space="preserve">prihodi </w:t>
      </w:r>
      <w:r w:rsidR="000B5F9E">
        <w:t>su povećani za 10 %, što ne predstavlja veliko odstupanje u odnosu na prošlo razdoblje</w:t>
      </w:r>
      <w:r>
        <w:t>, budući da se plan temelji na realno ostvarim prihodima.</w:t>
      </w:r>
    </w:p>
    <w:p w14:paraId="0D7AD1FA" w14:textId="77777777" w:rsidR="000B5F9E" w:rsidRDefault="000B5F9E" w:rsidP="00FF09D7"/>
    <w:p w14:paraId="0674DED2" w14:textId="4326F24B" w:rsidR="00FF09D7" w:rsidRDefault="00FF09D7" w:rsidP="00FF09D7">
      <w:r>
        <w:t>Medicinski fakultet Osijek ne planira primitke, odnosno ne planira zaduživanja u razdoblju 202</w:t>
      </w:r>
      <w:r w:rsidR="007F766E">
        <w:t>5</w:t>
      </w:r>
      <w:r>
        <w:t>.- 202</w:t>
      </w:r>
      <w:r w:rsidR="007F766E">
        <w:t>7</w:t>
      </w:r>
      <w:r>
        <w:t>. godine.</w:t>
      </w:r>
    </w:p>
    <w:p w14:paraId="063F738A" w14:textId="4B4033C6" w:rsidR="0091318C" w:rsidRDefault="0091318C" w:rsidP="00FF09D7"/>
    <w:p w14:paraId="790F1E11" w14:textId="77777777" w:rsidR="0091318C" w:rsidRDefault="0091318C" w:rsidP="00FF09D7"/>
    <w:p w14:paraId="4C94CBFF" w14:textId="77777777" w:rsidR="00FF09D7" w:rsidRDefault="00FF09D7" w:rsidP="00FF09D7">
      <w:pPr>
        <w:rPr>
          <w:b/>
          <w:i/>
        </w:rPr>
      </w:pPr>
      <w:r>
        <w:rPr>
          <w:b/>
          <w:i/>
        </w:rPr>
        <w:t>IZVOR  11 – OPĆI PRIHODI I PRIMICI</w:t>
      </w:r>
    </w:p>
    <w:p w14:paraId="0362C7D6" w14:textId="77777777" w:rsidR="00FF09D7" w:rsidRDefault="00FF09D7" w:rsidP="00FF09D7">
      <w:pPr>
        <w:rPr>
          <w:b/>
          <w:i/>
        </w:rPr>
      </w:pPr>
    </w:p>
    <w:p w14:paraId="7F991A2E" w14:textId="78BF5967" w:rsidR="00FF09D7" w:rsidRDefault="00FF09D7" w:rsidP="00FF09D7">
      <w:r>
        <w:t>Opći prihodi i primici predstavljaju prihode iz Državnog proračuna, a odnose se na financiranje redovne djelatnosti Fakulteta, te na programsko financiranje znanosti.</w:t>
      </w:r>
    </w:p>
    <w:p w14:paraId="2F8E54D1" w14:textId="77777777" w:rsidR="00FF09D7" w:rsidRPr="00D00578" w:rsidRDefault="00FF09D7" w:rsidP="00FF09D7"/>
    <w:p w14:paraId="0258A461" w14:textId="77777777" w:rsidR="00FF09D7" w:rsidRDefault="00FF09D7" w:rsidP="00FF09D7">
      <w:r w:rsidRPr="001058BA">
        <w:t>Ova sredstva su planirana temeljem zadanih limita od strane Ministarstva znanosti i obrazovanja, kao i limita od strane Sveučilišta Josipa Jurja Strossmayera u Osijeku.</w:t>
      </w:r>
    </w:p>
    <w:p w14:paraId="1DA6D789" w14:textId="77777777" w:rsidR="003A7BE5" w:rsidRDefault="003A7BE5" w:rsidP="00FF09D7"/>
    <w:p w14:paraId="4476429C" w14:textId="77777777" w:rsidR="00FF09D7" w:rsidRDefault="00FF09D7" w:rsidP="00FF09D7"/>
    <w:p w14:paraId="07E641ED" w14:textId="77777777" w:rsidR="00FF09D7" w:rsidRPr="001058BA" w:rsidRDefault="00FF09D7" w:rsidP="00FF09D7">
      <w:pPr>
        <w:rPr>
          <w:b/>
          <w:i/>
        </w:rPr>
      </w:pPr>
      <w:r w:rsidRPr="001058BA">
        <w:rPr>
          <w:b/>
          <w:i/>
        </w:rPr>
        <w:t>IZVOR  31 – VLASTITI PRIHODI</w:t>
      </w:r>
    </w:p>
    <w:p w14:paraId="277BE01D" w14:textId="77777777" w:rsidR="00FF09D7" w:rsidRPr="001058BA" w:rsidRDefault="00FF09D7" w:rsidP="00FF09D7"/>
    <w:p w14:paraId="56518928" w14:textId="77777777" w:rsidR="00FF09D7" w:rsidRDefault="00FF09D7" w:rsidP="00FF09D7">
      <w:r w:rsidRPr="001058BA">
        <w:t>Vlastite prihode čine prihodi od pruženih usluga,</w:t>
      </w:r>
      <w:r w:rsidR="003A7BE5">
        <w:t xml:space="preserve"> prihodi od prodaje proizvoda i roba</w:t>
      </w:r>
      <w:r w:rsidRPr="001058BA">
        <w:t xml:space="preserve"> te prihodi od kamata na dep</w:t>
      </w:r>
      <w:r>
        <w:t>ozite po viđenju.</w:t>
      </w:r>
      <w:r w:rsidRPr="001058BA">
        <w:t xml:space="preserve"> </w:t>
      </w:r>
    </w:p>
    <w:p w14:paraId="1107AE75" w14:textId="77777777" w:rsidR="00FF09D7" w:rsidRDefault="00FF09D7" w:rsidP="00FF09D7"/>
    <w:p w14:paraId="6EBC79B2" w14:textId="25FCB07C" w:rsidR="00FF09D7" w:rsidRPr="001058BA" w:rsidRDefault="00FF09D7" w:rsidP="00FF09D7">
      <w:r>
        <w:t xml:space="preserve">Ukupno je planirano ostvariti prihod u iznosu od </w:t>
      </w:r>
      <w:r w:rsidR="00BD0845">
        <w:t>106</w:t>
      </w:r>
      <w:r w:rsidR="000B5F9E">
        <w:t>.</w:t>
      </w:r>
      <w:r w:rsidR="00BD0845">
        <w:t>0</w:t>
      </w:r>
      <w:r w:rsidR="000B5F9E">
        <w:t xml:space="preserve">00 </w:t>
      </w:r>
      <w:r>
        <w:t>EUR-a.</w:t>
      </w:r>
    </w:p>
    <w:p w14:paraId="4F958E89" w14:textId="77777777" w:rsidR="00FF09D7" w:rsidRPr="001058BA" w:rsidRDefault="00FF09D7" w:rsidP="00FF09D7"/>
    <w:p w14:paraId="3789F4C3" w14:textId="68003387" w:rsidR="00FF09D7" w:rsidRPr="001058BA" w:rsidRDefault="003A7BE5" w:rsidP="00FF09D7">
      <w:r>
        <w:t xml:space="preserve">Prihode od prodaje proizvoda i roba čine </w:t>
      </w:r>
      <w:r w:rsidRPr="001058BA">
        <w:t xml:space="preserve">prihodi ostvareni od </w:t>
      </w:r>
      <w:r>
        <w:t xml:space="preserve">prodaje knjiga u ukupno planiranom iznosu od </w:t>
      </w:r>
      <w:r w:rsidR="008D3B09">
        <w:t>4</w:t>
      </w:r>
      <w:r w:rsidR="000B5F9E">
        <w:t>.500</w:t>
      </w:r>
      <w:r>
        <w:t xml:space="preserve"> EUR. </w:t>
      </w:r>
      <w:r w:rsidR="00FF09D7" w:rsidRPr="001058BA">
        <w:t>Prihode od pruženih usluga čine</w:t>
      </w:r>
      <w:r w:rsidR="00FF09D7">
        <w:t xml:space="preserve"> prihodi od </w:t>
      </w:r>
      <w:r w:rsidR="00FF09D7" w:rsidRPr="001058BA">
        <w:t>nostrifikacija i provjera vjerodostojnosti diploma,</w:t>
      </w:r>
      <w:r w:rsidR="00FF09D7">
        <w:t xml:space="preserve"> </w:t>
      </w:r>
      <w:r w:rsidR="00FF09D7" w:rsidRPr="001058BA">
        <w:t>prihodi od pruženih tečajeva, prihodi od usluga najma dvorane, prihodi od obavljenih usluga laboratorija za analizu DNA, te laboratorija za medicinsku genetiku, prihodi ostvareni od sudskih vještačenja, prihodi od izbora u znanstvena zvanja</w:t>
      </w:r>
      <w:r w:rsidR="000B5F9E">
        <w:t xml:space="preserve">. Do </w:t>
      </w:r>
      <w:r w:rsidR="008D3B09">
        <w:t>2023.g.</w:t>
      </w:r>
      <w:r w:rsidR="000B5F9E">
        <w:t xml:space="preserve"> su se </w:t>
      </w:r>
      <w:r w:rsidR="00FF09D7" w:rsidRPr="001058BA">
        <w:t xml:space="preserve"> prihodi  od  školarina po</w:t>
      </w:r>
      <w:r>
        <w:t>sl</w:t>
      </w:r>
      <w:r w:rsidR="00FF09D7" w:rsidRPr="001058BA">
        <w:t xml:space="preserve">ijediplomskih specijalističkih  </w:t>
      </w:r>
      <w:r w:rsidR="00FF09D7">
        <w:t>studija</w:t>
      </w:r>
      <w:r w:rsidR="000B5F9E">
        <w:t xml:space="preserve"> vodili na ovom izvoru, ali od 202</w:t>
      </w:r>
      <w:r w:rsidR="008D3B09">
        <w:t>4</w:t>
      </w:r>
      <w:r w:rsidR="000B5F9E">
        <w:t>. godine izvor je promijenjen u izvor 43</w:t>
      </w:r>
      <w:r w:rsidR="00B0170E">
        <w:t>,</w:t>
      </w:r>
      <w:r w:rsidR="000B5F9E">
        <w:t xml:space="preserve"> pa su shodno tome ovi prihodi i planirani na izvoru 43.</w:t>
      </w:r>
      <w:r w:rsidR="00B0170E">
        <w:t xml:space="preserve"> </w:t>
      </w:r>
      <w:r w:rsidR="000B5F9E">
        <w:t>Slijedom obrazloženog, došlo je do smanjenja planiranih prihoda na ovom izvoru u odnosu na pr</w:t>
      </w:r>
      <w:r w:rsidR="008D3B09">
        <w:t>ijašnja</w:t>
      </w:r>
      <w:r w:rsidR="000B5F9E">
        <w:t xml:space="preserve"> razdoblje.</w:t>
      </w:r>
    </w:p>
    <w:p w14:paraId="427FB242" w14:textId="77777777" w:rsidR="00FF09D7" w:rsidRPr="001058BA" w:rsidRDefault="00FF09D7" w:rsidP="00FF09D7"/>
    <w:p w14:paraId="37E66A84" w14:textId="77777777" w:rsidR="00FF09D7" w:rsidRDefault="00FF09D7" w:rsidP="00FF09D7">
      <w:r w:rsidRPr="001058BA">
        <w:t>Ukupno ostvareni prihodi od usluga se prvenstveno koriste za financiranje rashoda za potrebe redovnog poslovanja, minimalni standard, kao i financiranje ostalih aktivnosti potrebnih za normalno funkcioniranje rada Fakulteta, te financiranje nabavke laboratorijske opreme za laboratorij za analizu DNA, te laboratorij za medicinsku genetiku, i nabavku knjiga.</w:t>
      </w:r>
    </w:p>
    <w:p w14:paraId="1D9109F2" w14:textId="77777777" w:rsidR="00FF09D7" w:rsidRPr="001058BA" w:rsidRDefault="00FF09D7" w:rsidP="00FF09D7"/>
    <w:p w14:paraId="60374109" w14:textId="77777777" w:rsidR="00FF09D7" w:rsidRPr="00C76846" w:rsidRDefault="00C76846" w:rsidP="00C76846">
      <w:pPr>
        <w:jc w:val="right"/>
      </w:pPr>
      <w:r w:rsidRPr="00C76846">
        <w:t>Podaci su izraženi u EUR</w:t>
      </w:r>
    </w:p>
    <w:tbl>
      <w:tblPr>
        <w:tblW w:w="936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74"/>
        <w:gridCol w:w="1363"/>
        <w:gridCol w:w="1208"/>
        <w:gridCol w:w="1208"/>
        <w:gridCol w:w="1207"/>
        <w:gridCol w:w="1208"/>
        <w:gridCol w:w="1392"/>
      </w:tblGrid>
      <w:tr w:rsidR="00FF09D7" w:rsidRPr="001058BA" w14:paraId="0D02A6A8" w14:textId="77777777" w:rsidTr="001A7085">
        <w:trPr>
          <w:trHeight w:val="532"/>
        </w:trPr>
        <w:tc>
          <w:tcPr>
            <w:tcW w:w="1774" w:type="dxa"/>
            <w:shd w:val="clear" w:color="auto" w:fill="D0CDCD"/>
          </w:tcPr>
          <w:p w14:paraId="42C6D1FB" w14:textId="77777777" w:rsidR="00FF09D7" w:rsidRPr="001058BA" w:rsidRDefault="00FF09D7" w:rsidP="001A7085">
            <w:pPr>
              <w:pStyle w:val="TableParagraph"/>
              <w:rPr>
                <w:rFonts w:ascii="Times New Roman" w:hAnsi="Times New Roman" w:cs="Times New Roman"/>
                <w:sz w:val="24"/>
                <w:szCs w:val="24"/>
              </w:rPr>
            </w:pPr>
          </w:p>
        </w:tc>
        <w:tc>
          <w:tcPr>
            <w:tcW w:w="1363" w:type="dxa"/>
            <w:shd w:val="clear" w:color="auto" w:fill="D0CDCD"/>
          </w:tcPr>
          <w:p w14:paraId="6072709C" w14:textId="037F2F0B" w:rsidR="00FF09D7" w:rsidRPr="001058BA" w:rsidRDefault="00FF09D7" w:rsidP="001A7085">
            <w:pPr>
              <w:pStyle w:val="TableParagraph"/>
              <w:spacing w:line="270" w:lineRule="atLeast"/>
              <w:ind w:left="364" w:right="190" w:hanging="146"/>
              <w:rPr>
                <w:rFonts w:ascii="Times New Roman" w:hAnsi="Times New Roman" w:cs="Times New Roman"/>
                <w:sz w:val="24"/>
                <w:szCs w:val="24"/>
              </w:rPr>
            </w:pPr>
            <w:r w:rsidRPr="001058BA">
              <w:rPr>
                <w:rFonts w:ascii="Times New Roman" w:hAnsi="Times New Roman" w:cs="Times New Roman"/>
                <w:sz w:val="24"/>
                <w:szCs w:val="24"/>
              </w:rPr>
              <w:t>Izvršenje 202</w:t>
            </w:r>
            <w:r w:rsidR="00141CC1">
              <w:rPr>
                <w:rFonts w:ascii="Times New Roman" w:hAnsi="Times New Roman" w:cs="Times New Roman"/>
                <w:sz w:val="24"/>
                <w:szCs w:val="24"/>
              </w:rPr>
              <w:t>3</w:t>
            </w:r>
            <w:r w:rsidRPr="001058BA">
              <w:rPr>
                <w:rFonts w:ascii="Times New Roman" w:hAnsi="Times New Roman" w:cs="Times New Roman"/>
                <w:sz w:val="24"/>
                <w:szCs w:val="24"/>
              </w:rPr>
              <w:t>.</w:t>
            </w:r>
          </w:p>
        </w:tc>
        <w:tc>
          <w:tcPr>
            <w:tcW w:w="1208" w:type="dxa"/>
            <w:shd w:val="clear" w:color="auto" w:fill="D0CDCD"/>
          </w:tcPr>
          <w:p w14:paraId="2156F621" w14:textId="444E4452" w:rsidR="00FF09D7" w:rsidRPr="001058BA" w:rsidRDefault="00FF09D7" w:rsidP="00D34F01">
            <w:pPr>
              <w:pStyle w:val="TableParagraph"/>
              <w:spacing w:before="136"/>
              <w:ind w:left="133"/>
              <w:rPr>
                <w:rFonts w:ascii="Times New Roman" w:hAnsi="Times New Roman" w:cs="Times New Roman"/>
                <w:sz w:val="24"/>
                <w:szCs w:val="24"/>
              </w:rPr>
            </w:pPr>
            <w:r w:rsidRPr="001058BA">
              <w:rPr>
                <w:rFonts w:ascii="Times New Roman" w:hAnsi="Times New Roman" w:cs="Times New Roman"/>
                <w:sz w:val="24"/>
                <w:szCs w:val="24"/>
              </w:rPr>
              <w:t>Plan 202</w:t>
            </w:r>
            <w:r w:rsidR="00141CC1">
              <w:rPr>
                <w:rFonts w:ascii="Times New Roman" w:hAnsi="Times New Roman" w:cs="Times New Roman"/>
                <w:sz w:val="24"/>
                <w:szCs w:val="24"/>
              </w:rPr>
              <w:t>4</w:t>
            </w:r>
            <w:r w:rsidRPr="001058BA">
              <w:rPr>
                <w:rFonts w:ascii="Times New Roman" w:hAnsi="Times New Roman" w:cs="Times New Roman"/>
                <w:sz w:val="24"/>
                <w:szCs w:val="24"/>
              </w:rPr>
              <w:t>.</w:t>
            </w:r>
          </w:p>
        </w:tc>
        <w:tc>
          <w:tcPr>
            <w:tcW w:w="1208" w:type="dxa"/>
            <w:shd w:val="clear" w:color="auto" w:fill="D0CDCD"/>
          </w:tcPr>
          <w:p w14:paraId="202D0138" w14:textId="5522C185" w:rsidR="00FF09D7" w:rsidRPr="001058BA" w:rsidRDefault="00FF09D7" w:rsidP="00D34F01">
            <w:pPr>
              <w:pStyle w:val="TableParagraph"/>
              <w:spacing w:before="136"/>
              <w:ind w:left="133"/>
              <w:rPr>
                <w:rFonts w:ascii="Times New Roman" w:hAnsi="Times New Roman" w:cs="Times New Roman"/>
                <w:sz w:val="24"/>
                <w:szCs w:val="24"/>
              </w:rPr>
            </w:pPr>
            <w:r w:rsidRPr="001058BA">
              <w:rPr>
                <w:rFonts w:ascii="Times New Roman" w:hAnsi="Times New Roman" w:cs="Times New Roman"/>
                <w:sz w:val="24"/>
                <w:szCs w:val="24"/>
              </w:rPr>
              <w:t>Plan 202</w:t>
            </w:r>
            <w:r w:rsidR="00141CC1">
              <w:rPr>
                <w:rFonts w:ascii="Times New Roman" w:hAnsi="Times New Roman" w:cs="Times New Roman"/>
                <w:sz w:val="24"/>
                <w:szCs w:val="24"/>
              </w:rPr>
              <w:t>5</w:t>
            </w:r>
            <w:r w:rsidRPr="001058BA">
              <w:rPr>
                <w:rFonts w:ascii="Times New Roman" w:hAnsi="Times New Roman" w:cs="Times New Roman"/>
                <w:sz w:val="24"/>
                <w:szCs w:val="24"/>
              </w:rPr>
              <w:t>.</w:t>
            </w:r>
          </w:p>
        </w:tc>
        <w:tc>
          <w:tcPr>
            <w:tcW w:w="1207" w:type="dxa"/>
            <w:shd w:val="clear" w:color="auto" w:fill="D0CDCD"/>
          </w:tcPr>
          <w:p w14:paraId="799481C7" w14:textId="55496BFE" w:rsidR="00FF09D7" w:rsidRPr="001058BA" w:rsidRDefault="00FF09D7" w:rsidP="00D34F01">
            <w:pPr>
              <w:pStyle w:val="TableParagraph"/>
              <w:spacing w:before="136"/>
              <w:ind w:left="132"/>
              <w:rPr>
                <w:rFonts w:ascii="Times New Roman" w:hAnsi="Times New Roman" w:cs="Times New Roman"/>
                <w:sz w:val="24"/>
                <w:szCs w:val="24"/>
              </w:rPr>
            </w:pPr>
            <w:r w:rsidRPr="001058BA">
              <w:rPr>
                <w:rFonts w:ascii="Times New Roman" w:hAnsi="Times New Roman" w:cs="Times New Roman"/>
                <w:sz w:val="24"/>
                <w:szCs w:val="24"/>
              </w:rPr>
              <w:t>Plan 202</w:t>
            </w:r>
            <w:r w:rsidR="00141CC1">
              <w:rPr>
                <w:rFonts w:ascii="Times New Roman" w:hAnsi="Times New Roman" w:cs="Times New Roman"/>
                <w:sz w:val="24"/>
                <w:szCs w:val="24"/>
              </w:rPr>
              <w:t>6</w:t>
            </w:r>
            <w:r w:rsidRPr="001058BA">
              <w:rPr>
                <w:rFonts w:ascii="Times New Roman" w:hAnsi="Times New Roman" w:cs="Times New Roman"/>
                <w:sz w:val="24"/>
                <w:szCs w:val="24"/>
              </w:rPr>
              <w:t>.</w:t>
            </w:r>
          </w:p>
        </w:tc>
        <w:tc>
          <w:tcPr>
            <w:tcW w:w="1208" w:type="dxa"/>
            <w:shd w:val="clear" w:color="auto" w:fill="D0CDCD"/>
          </w:tcPr>
          <w:p w14:paraId="5143B796" w14:textId="0D1256A3" w:rsidR="00FF09D7" w:rsidRPr="001058BA" w:rsidRDefault="00FF09D7" w:rsidP="00D34F01">
            <w:pPr>
              <w:pStyle w:val="TableParagraph"/>
              <w:spacing w:before="136"/>
              <w:ind w:left="133"/>
              <w:rPr>
                <w:rFonts w:ascii="Times New Roman" w:hAnsi="Times New Roman" w:cs="Times New Roman"/>
                <w:sz w:val="24"/>
                <w:szCs w:val="24"/>
              </w:rPr>
            </w:pPr>
            <w:r w:rsidRPr="001058BA">
              <w:rPr>
                <w:rFonts w:ascii="Times New Roman" w:hAnsi="Times New Roman" w:cs="Times New Roman"/>
                <w:sz w:val="24"/>
                <w:szCs w:val="24"/>
              </w:rPr>
              <w:t>Plan 202</w:t>
            </w:r>
            <w:r w:rsidR="00141CC1">
              <w:rPr>
                <w:rFonts w:ascii="Times New Roman" w:hAnsi="Times New Roman" w:cs="Times New Roman"/>
                <w:sz w:val="24"/>
                <w:szCs w:val="24"/>
              </w:rPr>
              <w:t>7</w:t>
            </w:r>
            <w:r w:rsidRPr="001058BA">
              <w:rPr>
                <w:rFonts w:ascii="Times New Roman" w:hAnsi="Times New Roman" w:cs="Times New Roman"/>
                <w:sz w:val="24"/>
                <w:szCs w:val="24"/>
              </w:rPr>
              <w:t>.</w:t>
            </w:r>
          </w:p>
        </w:tc>
        <w:tc>
          <w:tcPr>
            <w:tcW w:w="1392" w:type="dxa"/>
            <w:shd w:val="clear" w:color="auto" w:fill="D0CDCD"/>
          </w:tcPr>
          <w:p w14:paraId="2DE6DEEB" w14:textId="10053293" w:rsidR="00FF09D7" w:rsidRPr="001058BA" w:rsidRDefault="00FF09D7" w:rsidP="000E5CB5">
            <w:pPr>
              <w:pStyle w:val="TableParagraph"/>
              <w:spacing w:line="270" w:lineRule="atLeast"/>
              <w:ind w:left="287" w:right="257" w:firstLine="29"/>
              <w:rPr>
                <w:rFonts w:ascii="Times New Roman" w:hAnsi="Times New Roman" w:cs="Times New Roman"/>
                <w:sz w:val="24"/>
                <w:szCs w:val="24"/>
              </w:rPr>
            </w:pPr>
            <w:r w:rsidRPr="001058BA">
              <w:rPr>
                <w:rFonts w:ascii="Times New Roman" w:hAnsi="Times New Roman" w:cs="Times New Roman"/>
                <w:sz w:val="24"/>
                <w:szCs w:val="24"/>
              </w:rPr>
              <w:t>I</w:t>
            </w:r>
            <w:r w:rsidR="000E5CB5">
              <w:rPr>
                <w:rFonts w:ascii="Times New Roman" w:hAnsi="Times New Roman" w:cs="Times New Roman"/>
                <w:sz w:val="24"/>
                <w:szCs w:val="24"/>
              </w:rPr>
              <w:t>ndeks 2</w:t>
            </w:r>
            <w:r w:rsidR="000B5F9E">
              <w:rPr>
                <w:rFonts w:ascii="Times New Roman" w:hAnsi="Times New Roman" w:cs="Times New Roman"/>
                <w:sz w:val="24"/>
                <w:szCs w:val="24"/>
              </w:rPr>
              <w:t>4</w:t>
            </w:r>
            <w:r w:rsidRPr="001058BA">
              <w:rPr>
                <w:rFonts w:ascii="Times New Roman" w:hAnsi="Times New Roman" w:cs="Times New Roman"/>
                <w:sz w:val="24"/>
                <w:szCs w:val="24"/>
              </w:rPr>
              <w:t>./2</w:t>
            </w:r>
            <w:r w:rsidR="000B5F9E">
              <w:rPr>
                <w:rFonts w:ascii="Times New Roman" w:hAnsi="Times New Roman" w:cs="Times New Roman"/>
                <w:sz w:val="24"/>
                <w:szCs w:val="24"/>
              </w:rPr>
              <w:t>3</w:t>
            </w:r>
            <w:r w:rsidRPr="001058BA">
              <w:rPr>
                <w:rFonts w:ascii="Times New Roman" w:hAnsi="Times New Roman" w:cs="Times New Roman"/>
                <w:sz w:val="24"/>
                <w:szCs w:val="24"/>
              </w:rPr>
              <w:t>.</w:t>
            </w:r>
          </w:p>
        </w:tc>
      </w:tr>
      <w:tr w:rsidR="00FF09D7" w:rsidRPr="001058BA" w14:paraId="69CBEB1D" w14:textId="77777777" w:rsidTr="001A7085">
        <w:trPr>
          <w:trHeight w:val="524"/>
        </w:trPr>
        <w:tc>
          <w:tcPr>
            <w:tcW w:w="1774" w:type="dxa"/>
            <w:shd w:val="clear" w:color="auto" w:fill="auto"/>
          </w:tcPr>
          <w:p w14:paraId="39C020DF" w14:textId="77777777" w:rsidR="00FF09D7" w:rsidRPr="001058BA" w:rsidRDefault="00FF09D7" w:rsidP="001A7085">
            <w:pPr>
              <w:pStyle w:val="TableParagraph"/>
              <w:spacing w:line="262" w:lineRule="exact"/>
              <w:rPr>
                <w:rFonts w:ascii="Times New Roman" w:hAnsi="Times New Roman" w:cs="Times New Roman"/>
                <w:sz w:val="24"/>
                <w:szCs w:val="24"/>
              </w:rPr>
            </w:pPr>
            <w:r w:rsidRPr="001058BA">
              <w:rPr>
                <w:rFonts w:ascii="Times New Roman" w:hAnsi="Times New Roman" w:cs="Times New Roman"/>
                <w:sz w:val="24"/>
                <w:szCs w:val="24"/>
              </w:rPr>
              <w:t>REDOVNA DJELATNOST-</w:t>
            </w:r>
          </w:p>
          <w:p w14:paraId="1AB9DA70" w14:textId="77777777" w:rsidR="00FF09D7" w:rsidRPr="001058BA" w:rsidRDefault="00FF09D7" w:rsidP="001A7085">
            <w:pPr>
              <w:pStyle w:val="TableParagraph"/>
              <w:spacing w:line="262" w:lineRule="exact"/>
              <w:rPr>
                <w:rFonts w:ascii="Times New Roman" w:hAnsi="Times New Roman" w:cs="Times New Roman"/>
                <w:sz w:val="24"/>
                <w:szCs w:val="24"/>
              </w:rPr>
            </w:pPr>
            <w:r w:rsidRPr="001058BA">
              <w:rPr>
                <w:rFonts w:ascii="Times New Roman" w:hAnsi="Times New Roman" w:cs="Times New Roman"/>
                <w:sz w:val="24"/>
                <w:szCs w:val="24"/>
              </w:rPr>
              <w:t>IZVOR 31</w:t>
            </w:r>
          </w:p>
        </w:tc>
        <w:tc>
          <w:tcPr>
            <w:tcW w:w="1363" w:type="dxa"/>
            <w:shd w:val="clear" w:color="auto" w:fill="auto"/>
          </w:tcPr>
          <w:p w14:paraId="66FDC2D7" w14:textId="77777777" w:rsidR="00FF09D7" w:rsidRPr="001058BA" w:rsidRDefault="00FF09D7" w:rsidP="001A7085">
            <w:pPr>
              <w:pStyle w:val="TableParagraph"/>
              <w:jc w:val="center"/>
              <w:rPr>
                <w:rFonts w:ascii="Times New Roman" w:hAnsi="Times New Roman" w:cs="Times New Roman"/>
                <w:sz w:val="24"/>
                <w:szCs w:val="24"/>
              </w:rPr>
            </w:pPr>
          </w:p>
          <w:p w14:paraId="3028AF3D" w14:textId="06670688" w:rsidR="00FF09D7" w:rsidRPr="001058BA" w:rsidRDefault="006D49DC" w:rsidP="001A7085">
            <w:pPr>
              <w:pStyle w:val="TableParagraph"/>
              <w:jc w:val="center"/>
              <w:rPr>
                <w:rFonts w:ascii="Times New Roman" w:hAnsi="Times New Roman" w:cs="Times New Roman"/>
                <w:sz w:val="24"/>
                <w:szCs w:val="24"/>
              </w:rPr>
            </w:pPr>
            <w:r>
              <w:rPr>
                <w:rFonts w:ascii="Times New Roman" w:hAnsi="Times New Roman" w:cs="Times New Roman"/>
                <w:sz w:val="24"/>
                <w:szCs w:val="24"/>
              </w:rPr>
              <w:t>84.500</w:t>
            </w:r>
          </w:p>
        </w:tc>
        <w:tc>
          <w:tcPr>
            <w:tcW w:w="1208" w:type="dxa"/>
            <w:shd w:val="clear" w:color="auto" w:fill="auto"/>
          </w:tcPr>
          <w:p w14:paraId="23D777AD" w14:textId="77777777" w:rsidR="00FF09D7" w:rsidRPr="001058BA" w:rsidRDefault="00FF09D7" w:rsidP="001A7085">
            <w:pPr>
              <w:pStyle w:val="TableParagraph"/>
              <w:jc w:val="center"/>
              <w:rPr>
                <w:rFonts w:ascii="Times New Roman" w:hAnsi="Times New Roman" w:cs="Times New Roman"/>
                <w:sz w:val="24"/>
                <w:szCs w:val="24"/>
              </w:rPr>
            </w:pPr>
          </w:p>
          <w:p w14:paraId="1C16EA63" w14:textId="0172B58B" w:rsidR="00FF09D7" w:rsidRPr="001058BA" w:rsidRDefault="006D49DC" w:rsidP="0087010D">
            <w:pPr>
              <w:pStyle w:val="TableParagraph"/>
              <w:jc w:val="center"/>
              <w:rPr>
                <w:rFonts w:ascii="Times New Roman" w:hAnsi="Times New Roman" w:cs="Times New Roman"/>
                <w:sz w:val="24"/>
                <w:szCs w:val="24"/>
              </w:rPr>
            </w:pPr>
            <w:r>
              <w:rPr>
                <w:rFonts w:ascii="Times New Roman" w:hAnsi="Times New Roman" w:cs="Times New Roman"/>
                <w:sz w:val="24"/>
                <w:szCs w:val="24"/>
              </w:rPr>
              <w:t>85.205</w:t>
            </w:r>
          </w:p>
        </w:tc>
        <w:tc>
          <w:tcPr>
            <w:tcW w:w="1208" w:type="dxa"/>
            <w:shd w:val="clear" w:color="auto" w:fill="auto"/>
          </w:tcPr>
          <w:p w14:paraId="362A96D5" w14:textId="77777777" w:rsidR="00FF09D7" w:rsidRPr="001058BA" w:rsidRDefault="00FF09D7" w:rsidP="001A7085">
            <w:pPr>
              <w:pStyle w:val="TableParagraph"/>
              <w:jc w:val="center"/>
              <w:rPr>
                <w:rFonts w:ascii="Times New Roman" w:hAnsi="Times New Roman" w:cs="Times New Roman"/>
                <w:sz w:val="24"/>
                <w:szCs w:val="24"/>
              </w:rPr>
            </w:pPr>
          </w:p>
          <w:p w14:paraId="1AE92C11" w14:textId="2AD5592C" w:rsidR="00FF09D7" w:rsidRPr="001058BA" w:rsidRDefault="00BD0845" w:rsidP="009E545E">
            <w:pPr>
              <w:pStyle w:val="TableParagraph"/>
              <w:jc w:val="center"/>
              <w:rPr>
                <w:rFonts w:ascii="Times New Roman" w:hAnsi="Times New Roman" w:cs="Times New Roman"/>
                <w:sz w:val="24"/>
                <w:szCs w:val="24"/>
              </w:rPr>
            </w:pPr>
            <w:r>
              <w:rPr>
                <w:rFonts w:ascii="Times New Roman" w:hAnsi="Times New Roman" w:cs="Times New Roman"/>
                <w:sz w:val="24"/>
                <w:szCs w:val="24"/>
              </w:rPr>
              <w:t>106.000</w:t>
            </w:r>
          </w:p>
        </w:tc>
        <w:tc>
          <w:tcPr>
            <w:tcW w:w="1207" w:type="dxa"/>
            <w:shd w:val="clear" w:color="auto" w:fill="auto"/>
          </w:tcPr>
          <w:p w14:paraId="7E4C54F9" w14:textId="77777777" w:rsidR="00850902" w:rsidRDefault="00850902" w:rsidP="001A7085">
            <w:pPr>
              <w:pStyle w:val="TableParagraph"/>
              <w:jc w:val="center"/>
              <w:rPr>
                <w:rFonts w:ascii="Times New Roman" w:hAnsi="Times New Roman" w:cs="Times New Roman"/>
                <w:sz w:val="24"/>
                <w:szCs w:val="24"/>
              </w:rPr>
            </w:pPr>
          </w:p>
          <w:p w14:paraId="5164DBA0" w14:textId="7D356D87" w:rsidR="00FF09D7" w:rsidRPr="001058BA" w:rsidRDefault="00BD0845" w:rsidP="009E545E">
            <w:pPr>
              <w:pStyle w:val="TableParagraph"/>
              <w:jc w:val="center"/>
              <w:rPr>
                <w:rFonts w:ascii="Times New Roman" w:hAnsi="Times New Roman" w:cs="Times New Roman"/>
                <w:sz w:val="24"/>
                <w:szCs w:val="24"/>
              </w:rPr>
            </w:pPr>
            <w:r>
              <w:rPr>
                <w:rFonts w:ascii="Times New Roman" w:hAnsi="Times New Roman" w:cs="Times New Roman"/>
                <w:sz w:val="24"/>
                <w:szCs w:val="24"/>
              </w:rPr>
              <w:t>106.000</w:t>
            </w:r>
          </w:p>
        </w:tc>
        <w:tc>
          <w:tcPr>
            <w:tcW w:w="1208" w:type="dxa"/>
            <w:shd w:val="clear" w:color="auto" w:fill="auto"/>
          </w:tcPr>
          <w:p w14:paraId="1F41FAA6" w14:textId="77777777" w:rsidR="000B5F9E" w:rsidRDefault="000B5F9E" w:rsidP="009E545E">
            <w:pPr>
              <w:pStyle w:val="TableParagraph"/>
              <w:jc w:val="center"/>
              <w:rPr>
                <w:rFonts w:ascii="Times New Roman" w:hAnsi="Times New Roman" w:cs="Times New Roman"/>
                <w:sz w:val="24"/>
                <w:szCs w:val="24"/>
              </w:rPr>
            </w:pPr>
          </w:p>
          <w:p w14:paraId="35ABC266" w14:textId="78D1E125" w:rsidR="00FF09D7" w:rsidRPr="001058BA" w:rsidRDefault="00BD0845" w:rsidP="009E545E">
            <w:pPr>
              <w:pStyle w:val="TableParagraph"/>
              <w:jc w:val="center"/>
              <w:rPr>
                <w:rFonts w:ascii="Times New Roman" w:hAnsi="Times New Roman" w:cs="Times New Roman"/>
                <w:sz w:val="24"/>
                <w:szCs w:val="24"/>
              </w:rPr>
            </w:pPr>
            <w:r>
              <w:rPr>
                <w:rFonts w:ascii="Times New Roman" w:hAnsi="Times New Roman" w:cs="Times New Roman"/>
                <w:sz w:val="24"/>
                <w:szCs w:val="24"/>
              </w:rPr>
              <w:t>106.000</w:t>
            </w:r>
          </w:p>
        </w:tc>
        <w:tc>
          <w:tcPr>
            <w:tcW w:w="1392" w:type="dxa"/>
            <w:shd w:val="clear" w:color="auto" w:fill="auto"/>
          </w:tcPr>
          <w:p w14:paraId="194D8DC3" w14:textId="77777777" w:rsidR="00FF09D7" w:rsidRPr="001058BA" w:rsidRDefault="00FF09D7" w:rsidP="001A7085">
            <w:pPr>
              <w:pStyle w:val="TableParagraph"/>
              <w:jc w:val="center"/>
              <w:rPr>
                <w:rFonts w:ascii="Times New Roman" w:hAnsi="Times New Roman" w:cs="Times New Roman"/>
                <w:sz w:val="24"/>
                <w:szCs w:val="24"/>
              </w:rPr>
            </w:pPr>
          </w:p>
          <w:p w14:paraId="4F4428FD" w14:textId="53203148" w:rsidR="00FF09D7" w:rsidRPr="001058BA" w:rsidRDefault="000B5F9E" w:rsidP="001A7085">
            <w:pPr>
              <w:pStyle w:val="TableParagraph"/>
              <w:jc w:val="center"/>
              <w:rPr>
                <w:rFonts w:ascii="Times New Roman" w:hAnsi="Times New Roman" w:cs="Times New Roman"/>
                <w:sz w:val="24"/>
                <w:szCs w:val="24"/>
              </w:rPr>
            </w:pPr>
            <w:r>
              <w:rPr>
                <w:rFonts w:ascii="Times New Roman" w:hAnsi="Times New Roman" w:cs="Times New Roman"/>
                <w:sz w:val="24"/>
                <w:szCs w:val="24"/>
              </w:rPr>
              <w:t>0</w:t>
            </w:r>
            <w:r w:rsidR="00C76846">
              <w:rPr>
                <w:rFonts w:ascii="Times New Roman" w:hAnsi="Times New Roman" w:cs="Times New Roman"/>
                <w:sz w:val="24"/>
                <w:szCs w:val="24"/>
              </w:rPr>
              <w:t>,</w:t>
            </w:r>
            <w:r>
              <w:rPr>
                <w:rFonts w:ascii="Times New Roman" w:hAnsi="Times New Roman" w:cs="Times New Roman"/>
                <w:sz w:val="24"/>
                <w:szCs w:val="24"/>
              </w:rPr>
              <w:t>5</w:t>
            </w:r>
            <w:r w:rsidR="009E545E">
              <w:rPr>
                <w:rFonts w:ascii="Times New Roman" w:hAnsi="Times New Roman" w:cs="Times New Roman"/>
                <w:sz w:val="24"/>
                <w:szCs w:val="24"/>
              </w:rPr>
              <w:t>8</w:t>
            </w:r>
          </w:p>
          <w:p w14:paraId="04E53FC4" w14:textId="77777777" w:rsidR="00FF09D7" w:rsidRPr="001058BA" w:rsidRDefault="00FF09D7" w:rsidP="001A7085">
            <w:pPr>
              <w:pStyle w:val="TableParagraph"/>
              <w:jc w:val="center"/>
              <w:rPr>
                <w:rFonts w:ascii="Times New Roman" w:hAnsi="Times New Roman" w:cs="Times New Roman"/>
                <w:sz w:val="24"/>
                <w:szCs w:val="24"/>
              </w:rPr>
            </w:pPr>
          </w:p>
        </w:tc>
      </w:tr>
    </w:tbl>
    <w:p w14:paraId="4F07981E" w14:textId="77777777" w:rsidR="003A7BE5" w:rsidRDefault="003A7BE5" w:rsidP="00FF09D7"/>
    <w:p w14:paraId="716395E8" w14:textId="77777777" w:rsidR="003A7BE5" w:rsidRPr="001058BA" w:rsidRDefault="003A7BE5" w:rsidP="00FF09D7"/>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1096"/>
        <w:gridCol w:w="996"/>
        <w:gridCol w:w="1176"/>
        <w:gridCol w:w="1176"/>
        <w:gridCol w:w="1176"/>
        <w:gridCol w:w="1074"/>
      </w:tblGrid>
      <w:tr w:rsidR="003B2F13" w:rsidRPr="001058BA" w14:paraId="79D902AF" w14:textId="77777777" w:rsidTr="00BD0845">
        <w:tc>
          <w:tcPr>
            <w:tcW w:w="3088" w:type="dxa"/>
            <w:shd w:val="clear" w:color="auto" w:fill="D0CECE"/>
          </w:tcPr>
          <w:p w14:paraId="147ACB69" w14:textId="77777777" w:rsidR="00FD5509" w:rsidRPr="001058BA" w:rsidRDefault="00FD5509" w:rsidP="00FD5509">
            <w:pPr>
              <w:jc w:val="both"/>
              <w:rPr>
                <w:rFonts w:eastAsia="Calibri"/>
              </w:rPr>
            </w:pPr>
          </w:p>
          <w:p w14:paraId="45DA44CD" w14:textId="77777777" w:rsidR="00FD5509" w:rsidRPr="001058BA" w:rsidRDefault="00FD5509" w:rsidP="00FD5509">
            <w:pPr>
              <w:jc w:val="both"/>
              <w:rPr>
                <w:rFonts w:eastAsia="Calibri"/>
              </w:rPr>
            </w:pPr>
          </w:p>
        </w:tc>
        <w:tc>
          <w:tcPr>
            <w:tcW w:w="1096" w:type="dxa"/>
            <w:shd w:val="clear" w:color="auto" w:fill="D0CECE"/>
          </w:tcPr>
          <w:p w14:paraId="618E3527" w14:textId="749A57B0" w:rsidR="00FD5509" w:rsidRPr="007B6805" w:rsidRDefault="00FD5509" w:rsidP="00FD5509">
            <w:pPr>
              <w:jc w:val="center"/>
              <w:rPr>
                <w:rFonts w:eastAsia="Calibri"/>
                <w:sz w:val="22"/>
                <w:szCs w:val="22"/>
              </w:rPr>
            </w:pPr>
            <w:r w:rsidRPr="001058BA">
              <w:t>Izvršenje 202</w:t>
            </w:r>
            <w:r w:rsidR="00141CC1">
              <w:t>3</w:t>
            </w:r>
            <w:r w:rsidRPr="001058BA">
              <w:t>.</w:t>
            </w:r>
          </w:p>
        </w:tc>
        <w:tc>
          <w:tcPr>
            <w:tcW w:w="996" w:type="dxa"/>
            <w:shd w:val="clear" w:color="auto" w:fill="D0CECE"/>
          </w:tcPr>
          <w:p w14:paraId="2799FA5A" w14:textId="3A231927" w:rsidR="00FD5509" w:rsidRPr="007B6805" w:rsidRDefault="00FD5509" w:rsidP="00FD5509">
            <w:pPr>
              <w:rPr>
                <w:rFonts w:eastAsia="Calibri"/>
                <w:sz w:val="22"/>
                <w:szCs w:val="22"/>
              </w:rPr>
            </w:pPr>
            <w:r w:rsidRPr="001058BA">
              <w:t>Plan 202</w:t>
            </w:r>
            <w:r w:rsidR="00141CC1">
              <w:t>4</w:t>
            </w:r>
            <w:r w:rsidRPr="001058BA">
              <w:t>.</w:t>
            </w:r>
          </w:p>
        </w:tc>
        <w:tc>
          <w:tcPr>
            <w:tcW w:w="1176" w:type="dxa"/>
            <w:shd w:val="clear" w:color="auto" w:fill="D0CECE"/>
          </w:tcPr>
          <w:p w14:paraId="592618B9" w14:textId="6B396110" w:rsidR="00FD5509" w:rsidRPr="007B6805" w:rsidRDefault="00FD5509" w:rsidP="00FD5509">
            <w:pPr>
              <w:jc w:val="center"/>
              <w:rPr>
                <w:rFonts w:eastAsia="Calibri"/>
                <w:sz w:val="22"/>
                <w:szCs w:val="22"/>
              </w:rPr>
            </w:pPr>
            <w:r w:rsidRPr="001058BA">
              <w:t>Plan 202</w:t>
            </w:r>
            <w:r w:rsidR="00141CC1">
              <w:t>5</w:t>
            </w:r>
            <w:r w:rsidRPr="001058BA">
              <w:t>.</w:t>
            </w:r>
          </w:p>
        </w:tc>
        <w:tc>
          <w:tcPr>
            <w:tcW w:w="1176" w:type="dxa"/>
            <w:shd w:val="clear" w:color="auto" w:fill="D0CECE"/>
          </w:tcPr>
          <w:p w14:paraId="258F5CBB" w14:textId="226E397B" w:rsidR="00FD5509" w:rsidRPr="007B6805" w:rsidRDefault="00FD5509" w:rsidP="00FD5509">
            <w:pPr>
              <w:jc w:val="center"/>
              <w:rPr>
                <w:rFonts w:eastAsia="Calibri"/>
                <w:sz w:val="22"/>
                <w:szCs w:val="22"/>
              </w:rPr>
            </w:pPr>
            <w:r w:rsidRPr="001058BA">
              <w:t>Plan 202</w:t>
            </w:r>
            <w:r w:rsidR="00141CC1">
              <w:t>6</w:t>
            </w:r>
            <w:r w:rsidRPr="001058BA">
              <w:t>.</w:t>
            </w:r>
          </w:p>
        </w:tc>
        <w:tc>
          <w:tcPr>
            <w:tcW w:w="1176" w:type="dxa"/>
            <w:shd w:val="clear" w:color="auto" w:fill="D0CECE"/>
          </w:tcPr>
          <w:p w14:paraId="07E53E84" w14:textId="06F69013" w:rsidR="00FD5509" w:rsidRPr="007B6805" w:rsidRDefault="00FD5509" w:rsidP="00FD5509">
            <w:pPr>
              <w:jc w:val="center"/>
              <w:rPr>
                <w:rFonts w:eastAsia="Calibri"/>
                <w:sz w:val="22"/>
                <w:szCs w:val="22"/>
              </w:rPr>
            </w:pPr>
            <w:r w:rsidRPr="001058BA">
              <w:t>Plan 202</w:t>
            </w:r>
            <w:r w:rsidR="00141CC1">
              <w:t>7</w:t>
            </w:r>
            <w:r w:rsidRPr="001058BA">
              <w:t>.</w:t>
            </w:r>
          </w:p>
        </w:tc>
        <w:tc>
          <w:tcPr>
            <w:tcW w:w="1074" w:type="dxa"/>
            <w:shd w:val="clear" w:color="auto" w:fill="D0CECE"/>
          </w:tcPr>
          <w:p w14:paraId="009BF37F" w14:textId="687F1783" w:rsidR="00FD5509" w:rsidRPr="007B6805" w:rsidRDefault="00FD5509" w:rsidP="00FD5509">
            <w:pPr>
              <w:jc w:val="center"/>
              <w:rPr>
                <w:rFonts w:eastAsia="Calibri"/>
                <w:sz w:val="22"/>
                <w:szCs w:val="22"/>
              </w:rPr>
            </w:pPr>
            <w:r w:rsidRPr="001058BA">
              <w:t>I</w:t>
            </w:r>
            <w:r>
              <w:t>ndeks 24</w:t>
            </w:r>
            <w:r w:rsidRPr="001058BA">
              <w:t>./2</w:t>
            </w:r>
            <w:r>
              <w:t>3</w:t>
            </w:r>
            <w:r w:rsidRPr="001058BA">
              <w:t>.</w:t>
            </w:r>
          </w:p>
        </w:tc>
      </w:tr>
      <w:tr w:rsidR="003B2F13" w:rsidRPr="001058BA" w14:paraId="333EFEC6" w14:textId="77777777" w:rsidTr="00BD0845">
        <w:tc>
          <w:tcPr>
            <w:tcW w:w="3088" w:type="dxa"/>
            <w:shd w:val="clear" w:color="auto" w:fill="auto"/>
          </w:tcPr>
          <w:p w14:paraId="1548F295" w14:textId="77777777" w:rsidR="00115F37" w:rsidRPr="00ED7B4E" w:rsidRDefault="00115F37" w:rsidP="00115F37">
            <w:pPr>
              <w:numPr>
                <w:ilvl w:val="0"/>
                <w:numId w:val="2"/>
              </w:numPr>
              <w:rPr>
                <w:rFonts w:eastAsia="Calibri"/>
                <w:sz w:val="22"/>
                <w:szCs w:val="22"/>
              </w:rPr>
            </w:pPr>
            <w:r w:rsidRPr="00ED7B4E">
              <w:rPr>
                <w:rFonts w:eastAsia="Calibri"/>
                <w:sz w:val="22"/>
                <w:szCs w:val="22"/>
              </w:rPr>
              <w:t xml:space="preserve">PRIHODI OD PRODAJE KNJIGA </w:t>
            </w:r>
          </w:p>
        </w:tc>
        <w:tc>
          <w:tcPr>
            <w:tcW w:w="1096" w:type="dxa"/>
          </w:tcPr>
          <w:p w14:paraId="2A8EF8A6" w14:textId="10E257BA" w:rsidR="00115F37" w:rsidRPr="001058BA" w:rsidRDefault="006D49DC" w:rsidP="00115F37">
            <w:pPr>
              <w:jc w:val="both"/>
              <w:rPr>
                <w:rFonts w:eastAsia="Calibri"/>
              </w:rPr>
            </w:pPr>
            <w:r>
              <w:rPr>
                <w:rFonts w:eastAsia="Calibri"/>
              </w:rPr>
              <w:t>7.318</w:t>
            </w:r>
          </w:p>
        </w:tc>
        <w:tc>
          <w:tcPr>
            <w:tcW w:w="996" w:type="dxa"/>
            <w:shd w:val="clear" w:color="auto" w:fill="auto"/>
          </w:tcPr>
          <w:p w14:paraId="49E5CCD3" w14:textId="2F1894DA" w:rsidR="00115F37" w:rsidRPr="001058BA" w:rsidRDefault="006D49DC" w:rsidP="00115F37">
            <w:pPr>
              <w:jc w:val="both"/>
              <w:rPr>
                <w:rFonts w:eastAsia="Calibri"/>
              </w:rPr>
            </w:pPr>
            <w:r>
              <w:rPr>
                <w:rFonts w:eastAsia="Calibri"/>
              </w:rPr>
              <w:t>6.500</w:t>
            </w:r>
          </w:p>
        </w:tc>
        <w:tc>
          <w:tcPr>
            <w:tcW w:w="1176" w:type="dxa"/>
            <w:shd w:val="clear" w:color="auto" w:fill="auto"/>
          </w:tcPr>
          <w:p w14:paraId="0FEF904C" w14:textId="1E139F89" w:rsidR="00115F37" w:rsidRPr="001058BA" w:rsidRDefault="00115F37" w:rsidP="00115F37">
            <w:pPr>
              <w:jc w:val="both"/>
              <w:rPr>
                <w:rFonts w:eastAsia="Calibri"/>
              </w:rPr>
            </w:pPr>
            <w:r>
              <w:rPr>
                <w:rFonts w:eastAsia="Calibri"/>
              </w:rPr>
              <w:t>4.500</w:t>
            </w:r>
          </w:p>
        </w:tc>
        <w:tc>
          <w:tcPr>
            <w:tcW w:w="1176" w:type="dxa"/>
            <w:shd w:val="clear" w:color="auto" w:fill="auto"/>
          </w:tcPr>
          <w:p w14:paraId="747F7EAF" w14:textId="7A9F82C4" w:rsidR="00115F37" w:rsidRPr="001058BA" w:rsidRDefault="00115F37" w:rsidP="00115F37">
            <w:pPr>
              <w:jc w:val="both"/>
              <w:rPr>
                <w:rFonts w:eastAsia="Calibri"/>
              </w:rPr>
            </w:pPr>
            <w:r>
              <w:rPr>
                <w:rFonts w:eastAsia="Calibri"/>
              </w:rPr>
              <w:t>4.500</w:t>
            </w:r>
          </w:p>
        </w:tc>
        <w:tc>
          <w:tcPr>
            <w:tcW w:w="1176" w:type="dxa"/>
            <w:shd w:val="clear" w:color="auto" w:fill="auto"/>
          </w:tcPr>
          <w:p w14:paraId="5A2BFFED" w14:textId="1477A062" w:rsidR="00115F37" w:rsidRPr="001058BA" w:rsidRDefault="00115F37" w:rsidP="00115F37">
            <w:pPr>
              <w:jc w:val="both"/>
              <w:rPr>
                <w:rFonts w:eastAsia="Calibri"/>
              </w:rPr>
            </w:pPr>
            <w:r>
              <w:rPr>
                <w:rFonts w:eastAsia="Calibri"/>
              </w:rPr>
              <w:t>4.500</w:t>
            </w:r>
          </w:p>
        </w:tc>
        <w:tc>
          <w:tcPr>
            <w:tcW w:w="1074" w:type="dxa"/>
            <w:shd w:val="clear" w:color="auto" w:fill="auto"/>
          </w:tcPr>
          <w:p w14:paraId="650606C7" w14:textId="628486FC" w:rsidR="00115F37" w:rsidRPr="001058BA" w:rsidRDefault="001A4DB7" w:rsidP="00115F37">
            <w:pPr>
              <w:jc w:val="both"/>
              <w:rPr>
                <w:rFonts w:eastAsia="Calibri"/>
              </w:rPr>
            </w:pPr>
            <w:r>
              <w:rPr>
                <w:rFonts w:eastAsia="Calibri"/>
              </w:rPr>
              <w:t>0,61</w:t>
            </w:r>
          </w:p>
        </w:tc>
      </w:tr>
      <w:tr w:rsidR="003B2F13" w:rsidRPr="001058BA" w14:paraId="3B2E7814" w14:textId="77777777" w:rsidTr="00BD0845">
        <w:tc>
          <w:tcPr>
            <w:tcW w:w="3088" w:type="dxa"/>
            <w:shd w:val="clear" w:color="auto" w:fill="auto"/>
          </w:tcPr>
          <w:p w14:paraId="12C0BCC9" w14:textId="77777777" w:rsidR="00115F37" w:rsidRPr="00ED7B4E" w:rsidRDefault="00115F37" w:rsidP="00115F37">
            <w:pPr>
              <w:numPr>
                <w:ilvl w:val="0"/>
                <w:numId w:val="2"/>
              </w:numPr>
              <w:rPr>
                <w:rFonts w:eastAsia="Calibri"/>
                <w:sz w:val="22"/>
                <w:szCs w:val="22"/>
              </w:rPr>
            </w:pPr>
            <w:r w:rsidRPr="00ED7B4E">
              <w:rPr>
                <w:rFonts w:eastAsia="Calibri"/>
                <w:sz w:val="22"/>
                <w:szCs w:val="22"/>
              </w:rPr>
              <w:t>PRIHODI OD PROVJERE VJERODOSTOJNOSTI  I NOSTIFIKACIJE DIPLOMA</w:t>
            </w:r>
          </w:p>
          <w:p w14:paraId="0717301B" w14:textId="77777777" w:rsidR="00115F37" w:rsidRPr="00ED7B4E" w:rsidRDefault="00115F37" w:rsidP="00115F37">
            <w:pPr>
              <w:ind w:left="720"/>
              <w:rPr>
                <w:rFonts w:eastAsia="Calibri"/>
                <w:sz w:val="22"/>
                <w:szCs w:val="22"/>
              </w:rPr>
            </w:pPr>
          </w:p>
        </w:tc>
        <w:tc>
          <w:tcPr>
            <w:tcW w:w="1096" w:type="dxa"/>
          </w:tcPr>
          <w:p w14:paraId="30493C3F" w14:textId="77777777" w:rsidR="00115F37" w:rsidRDefault="00115F37" w:rsidP="00115F37">
            <w:pPr>
              <w:jc w:val="both"/>
              <w:rPr>
                <w:rFonts w:eastAsia="Calibri"/>
              </w:rPr>
            </w:pPr>
          </w:p>
          <w:p w14:paraId="7F5D3700" w14:textId="77777777" w:rsidR="00115F37" w:rsidRDefault="00115F37" w:rsidP="00115F37">
            <w:pPr>
              <w:jc w:val="both"/>
              <w:rPr>
                <w:rFonts w:eastAsia="Calibri"/>
              </w:rPr>
            </w:pPr>
          </w:p>
          <w:p w14:paraId="272EABBC" w14:textId="0B0EC03F" w:rsidR="00115F37" w:rsidRPr="001058BA" w:rsidRDefault="006D49DC" w:rsidP="00115F37">
            <w:pPr>
              <w:jc w:val="both"/>
              <w:rPr>
                <w:rFonts w:eastAsia="Calibri"/>
              </w:rPr>
            </w:pPr>
            <w:r>
              <w:rPr>
                <w:rFonts w:eastAsia="Calibri"/>
              </w:rPr>
              <w:t>6.000</w:t>
            </w:r>
          </w:p>
        </w:tc>
        <w:tc>
          <w:tcPr>
            <w:tcW w:w="996" w:type="dxa"/>
            <w:shd w:val="clear" w:color="auto" w:fill="auto"/>
          </w:tcPr>
          <w:p w14:paraId="6F4DFD24" w14:textId="77777777" w:rsidR="00115F37" w:rsidRDefault="00115F37" w:rsidP="00115F37">
            <w:pPr>
              <w:jc w:val="both"/>
              <w:rPr>
                <w:rFonts w:eastAsia="Calibri"/>
              </w:rPr>
            </w:pPr>
          </w:p>
          <w:p w14:paraId="1DF52F6A" w14:textId="77777777" w:rsidR="00115F37" w:rsidRDefault="00115F37" w:rsidP="00115F37">
            <w:pPr>
              <w:jc w:val="both"/>
              <w:rPr>
                <w:rFonts w:eastAsia="Calibri"/>
              </w:rPr>
            </w:pPr>
          </w:p>
          <w:p w14:paraId="1C2A00D7" w14:textId="6228A72F" w:rsidR="00115F37" w:rsidRPr="001058BA" w:rsidRDefault="00115F37" w:rsidP="00115F37">
            <w:pPr>
              <w:jc w:val="both"/>
              <w:rPr>
                <w:rFonts w:eastAsia="Calibri"/>
              </w:rPr>
            </w:pPr>
            <w:r>
              <w:rPr>
                <w:rFonts w:eastAsia="Calibri"/>
              </w:rPr>
              <w:t>10.000</w:t>
            </w:r>
          </w:p>
        </w:tc>
        <w:tc>
          <w:tcPr>
            <w:tcW w:w="1176" w:type="dxa"/>
            <w:shd w:val="clear" w:color="auto" w:fill="auto"/>
          </w:tcPr>
          <w:p w14:paraId="60B54EDA" w14:textId="77777777" w:rsidR="00115F37" w:rsidRDefault="00115F37" w:rsidP="00115F37">
            <w:pPr>
              <w:jc w:val="both"/>
              <w:rPr>
                <w:rFonts w:eastAsia="Calibri"/>
              </w:rPr>
            </w:pPr>
          </w:p>
          <w:p w14:paraId="3717BC03" w14:textId="77777777" w:rsidR="00115F37" w:rsidRDefault="00115F37" w:rsidP="00115F37">
            <w:pPr>
              <w:jc w:val="both"/>
              <w:rPr>
                <w:rFonts w:eastAsia="Calibri"/>
              </w:rPr>
            </w:pPr>
          </w:p>
          <w:p w14:paraId="07639752" w14:textId="5773F77A" w:rsidR="00115F37" w:rsidRPr="001058BA" w:rsidRDefault="00115F37" w:rsidP="00115F37">
            <w:pPr>
              <w:jc w:val="both"/>
              <w:rPr>
                <w:rFonts w:eastAsia="Calibri"/>
              </w:rPr>
            </w:pPr>
            <w:r>
              <w:rPr>
                <w:rFonts w:eastAsia="Calibri"/>
              </w:rPr>
              <w:t>10.000</w:t>
            </w:r>
          </w:p>
        </w:tc>
        <w:tc>
          <w:tcPr>
            <w:tcW w:w="1176" w:type="dxa"/>
            <w:shd w:val="clear" w:color="auto" w:fill="auto"/>
          </w:tcPr>
          <w:p w14:paraId="54689103" w14:textId="77777777" w:rsidR="00115F37" w:rsidRDefault="00115F37" w:rsidP="00115F37">
            <w:pPr>
              <w:jc w:val="both"/>
              <w:rPr>
                <w:rFonts w:eastAsia="Calibri"/>
              </w:rPr>
            </w:pPr>
          </w:p>
          <w:p w14:paraId="4A900B03" w14:textId="77777777" w:rsidR="00115F37" w:rsidRDefault="00115F37" w:rsidP="00115F37">
            <w:pPr>
              <w:jc w:val="both"/>
              <w:rPr>
                <w:rFonts w:eastAsia="Calibri"/>
              </w:rPr>
            </w:pPr>
          </w:p>
          <w:p w14:paraId="4152C87A" w14:textId="130353A6" w:rsidR="00115F37" w:rsidRPr="001058BA" w:rsidRDefault="00115F37" w:rsidP="00115F37">
            <w:pPr>
              <w:jc w:val="both"/>
              <w:rPr>
                <w:rFonts w:eastAsia="Calibri"/>
              </w:rPr>
            </w:pPr>
            <w:r>
              <w:rPr>
                <w:rFonts w:eastAsia="Calibri"/>
              </w:rPr>
              <w:t>10.000</w:t>
            </w:r>
          </w:p>
        </w:tc>
        <w:tc>
          <w:tcPr>
            <w:tcW w:w="1176" w:type="dxa"/>
            <w:shd w:val="clear" w:color="auto" w:fill="auto"/>
          </w:tcPr>
          <w:p w14:paraId="4C507FB5" w14:textId="77777777" w:rsidR="00115F37" w:rsidRDefault="00115F37" w:rsidP="00115F37">
            <w:pPr>
              <w:jc w:val="both"/>
              <w:rPr>
                <w:rFonts w:eastAsia="Calibri"/>
              </w:rPr>
            </w:pPr>
          </w:p>
          <w:p w14:paraId="47400DC2" w14:textId="77777777" w:rsidR="00115F37" w:rsidRDefault="00115F37" w:rsidP="00115F37">
            <w:pPr>
              <w:jc w:val="both"/>
              <w:rPr>
                <w:rFonts w:eastAsia="Calibri"/>
              </w:rPr>
            </w:pPr>
          </w:p>
          <w:p w14:paraId="08302220" w14:textId="7F5C9E7E" w:rsidR="00115F37" w:rsidRPr="001058BA" w:rsidRDefault="00115F37" w:rsidP="00115F37">
            <w:pPr>
              <w:jc w:val="both"/>
              <w:rPr>
                <w:rFonts w:eastAsia="Calibri"/>
              </w:rPr>
            </w:pPr>
            <w:r>
              <w:rPr>
                <w:rFonts w:eastAsia="Calibri"/>
              </w:rPr>
              <w:t>10.000</w:t>
            </w:r>
          </w:p>
        </w:tc>
        <w:tc>
          <w:tcPr>
            <w:tcW w:w="1074" w:type="dxa"/>
            <w:shd w:val="clear" w:color="auto" w:fill="auto"/>
          </w:tcPr>
          <w:p w14:paraId="2A8E693A" w14:textId="77777777" w:rsidR="00115F37" w:rsidRDefault="00115F37" w:rsidP="00115F37">
            <w:pPr>
              <w:jc w:val="both"/>
              <w:rPr>
                <w:rFonts w:eastAsia="Calibri"/>
              </w:rPr>
            </w:pPr>
          </w:p>
          <w:p w14:paraId="03DDC87B" w14:textId="77777777" w:rsidR="001A4DB7" w:rsidRDefault="001A4DB7" w:rsidP="00115F37">
            <w:pPr>
              <w:jc w:val="both"/>
              <w:rPr>
                <w:rFonts w:eastAsia="Calibri"/>
              </w:rPr>
            </w:pPr>
          </w:p>
          <w:p w14:paraId="72337578" w14:textId="3F5D26CE" w:rsidR="001A4DB7" w:rsidRPr="001058BA" w:rsidRDefault="001A4DB7" w:rsidP="00115F37">
            <w:pPr>
              <w:jc w:val="both"/>
              <w:rPr>
                <w:rFonts w:eastAsia="Calibri"/>
              </w:rPr>
            </w:pPr>
            <w:r>
              <w:rPr>
                <w:rFonts w:eastAsia="Calibri"/>
              </w:rPr>
              <w:t>1,00</w:t>
            </w:r>
          </w:p>
        </w:tc>
      </w:tr>
      <w:tr w:rsidR="003B2F13" w:rsidRPr="001058BA" w14:paraId="32BA1EC7" w14:textId="77777777" w:rsidTr="00BD0845">
        <w:tc>
          <w:tcPr>
            <w:tcW w:w="3088" w:type="dxa"/>
            <w:shd w:val="clear" w:color="auto" w:fill="auto"/>
          </w:tcPr>
          <w:p w14:paraId="00C157EF" w14:textId="77777777" w:rsidR="00115F37" w:rsidRPr="00ED7B4E" w:rsidRDefault="00115F37" w:rsidP="00115F37">
            <w:pPr>
              <w:numPr>
                <w:ilvl w:val="0"/>
                <w:numId w:val="2"/>
              </w:numPr>
              <w:rPr>
                <w:rFonts w:eastAsia="Calibri"/>
                <w:sz w:val="22"/>
                <w:szCs w:val="22"/>
              </w:rPr>
            </w:pPr>
            <w:r w:rsidRPr="00ED7B4E">
              <w:rPr>
                <w:rFonts w:eastAsia="Calibri"/>
                <w:sz w:val="22"/>
                <w:szCs w:val="22"/>
              </w:rPr>
              <w:lastRenderedPageBreak/>
              <w:t>PRIHODI OD TEČAJEVA</w:t>
            </w:r>
          </w:p>
        </w:tc>
        <w:tc>
          <w:tcPr>
            <w:tcW w:w="1096" w:type="dxa"/>
          </w:tcPr>
          <w:p w14:paraId="145715F0" w14:textId="6DF43992" w:rsidR="00115F37" w:rsidRPr="001058BA" w:rsidRDefault="00115F37" w:rsidP="00115F37">
            <w:pPr>
              <w:jc w:val="both"/>
              <w:rPr>
                <w:rFonts w:eastAsia="Calibri"/>
              </w:rPr>
            </w:pPr>
            <w:r>
              <w:rPr>
                <w:rFonts w:eastAsia="Calibri"/>
              </w:rPr>
              <w:t>3.327</w:t>
            </w:r>
          </w:p>
        </w:tc>
        <w:tc>
          <w:tcPr>
            <w:tcW w:w="996" w:type="dxa"/>
            <w:shd w:val="clear" w:color="auto" w:fill="auto"/>
          </w:tcPr>
          <w:p w14:paraId="6BF14ECF" w14:textId="0C254217" w:rsidR="00115F37" w:rsidRPr="001058BA" w:rsidRDefault="00115F37" w:rsidP="00115F37">
            <w:pPr>
              <w:jc w:val="both"/>
              <w:rPr>
                <w:rFonts w:eastAsia="Calibri"/>
              </w:rPr>
            </w:pPr>
            <w:r>
              <w:rPr>
                <w:rFonts w:eastAsia="Calibri"/>
              </w:rPr>
              <w:t>4.600</w:t>
            </w:r>
          </w:p>
        </w:tc>
        <w:tc>
          <w:tcPr>
            <w:tcW w:w="1176" w:type="dxa"/>
            <w:shd w:val="clear" w:color="auto" w:fill="auto"/>
          </w:tcPr>
          <w:p w14:paraId="23695080" w14:textId="25323B6E" w:rsidR="00115F37" w:rsidRPr="001058BA" w:rsidRDefault="00115F37" w:rsidP="00115F37">
            <w:pPr>
              <w:jc w:val="both"/>
              <w:rPr>
                <w:rFonts w:eastAsia="Calibri"/>
              </w:rPr>
            </w:pPr>
            <w:r>
              <w:rPr>
                <w:rFonts w:eastAsia="Calibri"/>
              </w:rPr>
              <w:t>3.000</w:t>
            </w:r>
          </w:p>
        </w:tc>
        <w:tc>
          <w:tcPr>
            <w:tcW w:w="1176" w:type="dxa"/>
            <w:shd w:val="clear" w:color="auto" w:fill="auto"/>
          </w:tcPr>
          <w:p w14:paraId="1A4212F2" w14:textId="01ACCDD1" w:rsidR="00115F37" w:rsidRPr="001058BA" w:rsidRDefault="00115F37" w:rsidP="00115F37">
            <w:pPr>
              <w:jc w:val="both"/>
              <w:rPr>
                <w:rFonts w:eastAsia="Calibri"/>
              </w:rPr>
            </w:pPr>
            <w:r>
              <w:rPr>
                <w:rFonts w:eastAsia="Calibri"/>
              </w:rPr>
              <w:t>3.000</w:t>
            </w:r>
          </w:p>
        </w:tc>
        <w:tc>
          <w:tcPr>
            <w:tcW w:w="1176" w:type="dxa"/>
            <w:shd w:val="clear" w:color="auto" w:fill="auto"/>
          </w:tcPr>
          <w:p w14:paraId="73DD9C96" w14:textId="1F3951DE" w:rsidR="00115F37" w:rsidRPr="001058BA" w:rsidRDefault="00115F37" w:rsidP="00115F37">
            <w:pPr>
              <w:jc w:val="both"/>
              <w:rPr>
                <w:rFonts w:eastAsia="Calibri"/>
              </w:rPr>
            </w:pPr>
            <w:r>
              <w:rPr>
                <w:rFonts w:eastAsia="Calibri"/>
              </w:rPr>
              <w:t>3.000</w:t>
            </w:r>
          </w:p>
        </w:tc>
        <w:tc>
          <w:tcPr>
            <w:tcW w:w="1074" w:type="dxa"/>
            <w:shd w:val="clear" w:color="auto" w:fill="auto"/>
          </w:tcPr>
          <w:p w14:paraId="17CD1C0F" w14:textId="61E06D46" w:rsidR="00115F37" w:rsidRPr="001058BA" w:rsidRDefault="001A4DB7" w:rsidP="00115F37">
            <w:pPr>
              <w:jc w:val="both"/>
              <w:rPr>
                <w:rFonts w:eastAsia="Calibri"/>
              </w:rPr>
            </w:pPr>
            <w:r>
              <w:rPr>
                <w:rFonts w:eastAsia="Calibri"/>
              </w:rPr>
              <w:t>0,65</w:t>
            </w:r>
          </w:p>
        </w:tc>
      </w:tr>
      <w:tr w:rsidR="003B2F13" w:rsidRPr="001058BA" w14:paraId="21DB63E2" w14:textId="77777777" w:rsidTr="00BD0845">
        <w:tc>
          <w:tcPr>
            <w:tcW w:w="3088" w:type="dxa"/>
            <w:shd w:val="clear" w:color="auto" w:fill="auto"/>
          </w:tcPr>
          <w:p w14:paraId="293B7C08" w14:textId="77777777" w:rsidR="00115F37" w:rsidRPr="00ED7B4E" w:rsidRDefault="00115F37" w:rsidP="00115F37">
            <w:pPr>
              <w:numPr>
                <w:ilvl w:val="0"/>
                <w:numId w:val="2"/>
              </w:numPr>
              <w:rPr>
                <w:rFonts w:eastAsia="Calibri"/>
                <w:sz w:val="22"/>
                <w:szCs w:val="22"/>
              </w:rPr>
            </w:pPr>
            <w:r w:rsidRPr="00ED7B4E">
              <w:rPr>
                <w:rFonts w:eastAsia="Calibri"/>
                <w:sz w:val="22"/>
                <w:szCs w:val="22"/>
              </w:rPr>
              <w:t>PRIHODI OD USLUGA NAJMA PROSTORA</w:t>
            </w:r>
          </w:p>
        </w:tc>
        <w:tc>
          <w:tcPr>
            <w:tcW w:w="1096" w:type="dxa"/>
          </w:tcPr>
          <w:p w14:paraId="6A11FA2C" w14:textId="3A0D2190" w:rsidR="00115F37" w:rsidRPr="001058BA" w:rsidRDefault="003B2F13" w:rsidP="00115F37">
            <w:pPr>
              <w:jc w:val="both"/>
              <w:rPr>
                <w:rFonts w:eastAsia="Calibri"/>
              </w:rPr>
            </w:pPr>
            <w:r>
              <w:rPr>
                <w:rFonts w:eastAsia="Calibri"/>
              </w:rPr>
              <w:t>1.870</w:t>
            </w:r>
          </w:p>
        </w:tc>
        <w:tc>
          <w:tcPr>
            <w:tcW w:w="996" w:type="dxa"/>
            <w:shd w:val="clear" w:color="auto" w:fill="auto"/>
          </w:tcPr>
          <w:p w14:paraId="4EB75DD3" w14:textId="33238C36" w:rsidR="00115F37" w:rsidRPr="001058BA" w:rsidRDefault="00115F37" w:rsidP="00115F37">
            <w:pPr>
              <w:jc w:val="both"/>
              <w:rPr>
                <w:rFonts w:eastAsia="Calibri"/>
              </w:rPr>
            </w:pPr>
            <w:r>
              <w:rPr>
                <w:rFonts w:eastAsia="Calibri"/>
              </w:rPr>
              <w:t>1.</w:t>
            </w:r>
            <w:r w:rsidR="003B2F13">
              <w:rPr>
                <w:rFonts w:eastAsia="Calibri"/>
              </w:rPr>
              <w:t>500</w:t>
            </w:r>
          </w:p>
        </w:tc>
        <w:tc>
          <w:tcPr>
            <w:tcW w:w="1176" w:type="dxa"/>
            <w:shd w:val="clear" w:color="auto" w:fill="auto"/>
          </w:tcPr>
          <w:p w14:paraId="6B973A72" w14:textId="19501EBB" w:rsidR="00115F37" w:rsidRPr="001058BA" w:rsidRDefault="00115F37" w:rsidP="00115F37">
            <w:pPr>
              <w:jc w:val="both"/>
              <w:rPr>
                <w:rFonts w:eastAsia="Calibri"/>
              </w:rPr>
            </w:pPr>
            <w:r>
              <w:rPr>
                <w:rFonts w:eastAsia="Calibri"/>
              </w:rPr>
              <w:t>1000</w:t>
            </w:r>
          </w:p>
        </w:tc>
        <w:tc>
          <w:tcPr>
            <w:tcW w:w="1176" w:type="dxa"/>
            <w:shd w:val="clear" w:color="auto" w:fill="auto"/>
          </w:tcPr>
          <w:p w14:paraId="23AA1C9B" w14:textId="5D607B7A" w:rsidR="00115F37" w:rsidRPr="001058BA" w:rsidRDefault="00115F37" w:rsidP="00115F37">
            <w:pPr>
              <w:jc w:val="both"/>
              <w:rPr>
                <w:rFonts w:eastAsia="Calibri"/>
              </w:rPr>
            </w:pPr>
            <w:r>
              <w:rPr>
                <w:rFonts w:eastAsia="Calibri"/>
              </w:rPr>
              <w:t>1000</w:t>
            </w:r>
          </w:p>
        </w:tc>
        <w:tc>
          <w:tcPr>
            <w:tcW w:w="1176" w:type="dxa"/>
            <w:shd w:val="clear" w:color="auto" w:fill="auto"/>
          </w:tcPr>
          <w:p w14:paraId="50181D15" w14:textId="7506827E" w:rsidR="00115F37" w:rsidRPr="001058BA" w:rsidRDefault="00115F37" w:rsidP="00115F37">
            <w:pPr>
              <w:jc w:val="both"/>
              <w:rPr>
                <w:rFonts w:eastAsia="Calibri"/>
              </w:rPr>
            </w:pPr>
            <w:r>
              <w:rPr>
                <w:rFonts w:eastAsia="Calibri"/>
              </w:rPr>
              <w:t>1000</w:t>
            </w:r>
          </w:p>
        </w:tc>
        <w:tc>
          <w:tcPr>
            <w:tcW w:w="1074" w:type="dxa"/>
            <w:shd w:val="clear" w:color="auto" w:fill="auto"/>
          </w:tcPr>
          <w:p w14:paraId="48208000" w14:textId="7AB43B07" w:rsidR="00115F37" w:rsidRPr="001058BA" w:rsidRDefault="001A4DB7" w:rsidP="00115F37">
            <w:pPr>
              <w:jc w:val="both"/>
              <w:rPr>
                <w:rFonts w:eastAsia="Calibri"/>
              </w:rPr>
            </w:pPr>
            <w:r>
              <w:rPr>
                <w:rFonts w:eastAsia="Calibri"/>
              </w:rPr>
              <w:t>0,53</w:t>
            </w:r>
          </w:p>
        </w:tc>
      </w:tr>
      <w:tr w:rsidR="003B2F13" w:rsidRPr="001058BA" w14:paraId="2546298E" w14:textId="77777777" w:rsidTr="00BD0845">
        <w:tc>
          <w:tcPr>
            <w:tcW w:w="3088" w:type="dxa"/>
            <w:shd w:val="clear" w:color="auto" w:fill="auto"/>
          </w:tcPr>
          <w:p w14:paraId="78938D72" w14:textId="77777777" w:rsidR="00115F37" w:rsidRPr="00ED7B4E" w:rsidRDefault="00115F37" w:rsidP="00115F37">
            <w:pPr>
              <w:numPr>
                <w:ilvl w:val="0"/>
                <w:numId w:val="2"/>
              </w:numPr>
              <w:rPr>
                <w:rFonts w:eastAsia="Calibri"/>
                <w:sz w:val="22"/>
                <w:szCs w:val="22"/>
              </w:rPr>
            </w:pPr>
            <w:r w:rsidRPr="00ED7B4E">
              <w:rPr>
                <w:rFonts w:eastAsia="Calibri"/>
                <w:sz w:val="22"/>
                <w:szCs w:val="22"/>
              </w:rPr>
              <w:t>PRIHODI OD USLUGA LABORATORIJA DNA  I MEDICINSKE GENETIKE</w:t>
            </w:r>
          </w:p>
        </w:tc>
        <w:tc>
          <w:tcPr>
            <w:tcW w:w="1096" w:type="dxa"/>
          </w:tcPr>
          <w:p w14:paraId="3FDC9AF8" w14:textId="77777777" w:rsidR="00115F37" w:rsidRDefault="00115F37" w:rsidP="00115F37">
            <w:pPr>
              <w:jc w:val="both"/>
              <w:rPr>
                <w:rFonts w:eastAsia="Calibri"/>
              </w:rPr>
            </w:pPr>
          </w:p>
          <w:p w14:paraId="50362930" w14:textId="77777777" w:rsidR="00115F37" w:rsidRDefault="00115F37" w:rsidP="00115F37">
            <w:pPr>
              <w:jc w:val="both"/>
              <w:rPr>
                <w:rFonts w:eastAsia="Calibri"/>
              </w:rPr>
            </w:pPr>
          </w:p>
          <w:p w14:paraId="4C21C38A" w14:textId="077AFB6B" w:rsidR="00115F37" w:rsidRPr="001058BA" w:rsidRDefault="00115F37" w:rsidP="00115F37">
            <w:pPr>
              <w:jc w:val="both"/>
              <w:rPr>
                <w:rFonts w:eastAsia="Calibri"/>
              </w:rPr>
            </w:pPr>
            <w:r>
              <w:rPr>
                <w:rFonts w:eastAsia="Calibri"/>
              </w:rPr>
              <w:t>2</w:t>
            </w:r>
            <w:r w:rsidR="003B2F13">
              <w:rPr>
                <w:rFonts w:eastAsia="Calibri"/>
              </w:rPr>
              <w:t>8</w:t>
            </w:r>
            <w:r>
              <w:rPr>
                <w:rFonts w:eastAsia="Calibri"/>
              </w:rPr>
              <w:t>.</w:t>
            </w:r>
            <w:r w:rsidR="003B2F13">
              <w:rPr>
                <w:rFonts w:eastAsia="Calibri"/>
              </w:rPr>
              <w:t>100</w:t>
            </w:r>
          </w:p>
        </w:tc>
        <w:tc>
          <w:tcPr>
            <w:tcW w:w="996" w:type="dxa"/>
            <w:shd w:val="clear" w:color="auto" w:fill="auto"/>
          </w:tcPr>
          <w:p w14:paraId="653286AD" w14:textId="77777777" w:rsidR="00115F37" w:rsidRDefault="00115F37" w:rsidP="00115F37">
            <w:pPr>
              <w:jc w:val="both"/>
              <w:rPr>
                <w:rFonts w:eastAsia="Calibri"/>
              </w:rPr>
            </w:pPr>
          </w:p>
          <w:p w14:paraId="5E659701" w14:textId="77777777" w:rsidR="00115F37" w:rsidRDefault="00115F37" w:rsidP="00115F37">
            <w:pPr>
              <w:jc w:val="both"/>
              <w:rPr>
                <w:rFonts w:eastAsia="Calibri"/>
              </w:rPr>
            </w:pPr>
          </w:p>
          <w:p w14:paraId="7CFD401B" w14:textId="1A2B62D4" w:rsidR="00115F37" w:rsidRPr="001058BA" w:rsidRDefault="003B2F13" w:rsidP="00115F37">
            <w:pPr>
              <w:jc w:val="both"/>
              <w:rPr>
                <w:rFonts w:eastAsia="Calibri"/>
              </w:rPr>
            </w:pPr>
            <w:r>
              <w:rPr>
                <w:rFonts w:eastAsia="Calibri"/>
              </w:rPr>
              <w:t>26</w:t>
            </w:r>
            <w:r w:rsidR="00115F37">
              <w:rPr>
                <w:rFonts w:eastAsia="Calibri"/>
              </w:rPr>
              <w:t>.400</w:t>
            </w:r>
          </w:p>
        </w:tc>
        <w:tc>
          <w:tcPr>
            <w:tcW w:w="1176" w:type="dxa"/>
            <w:shd w:val="clear" w:color="auto" w:fill="auto"/>
          </w:tcPr>
          <w:p w14:paraId="5651BF8E" w14:textId="77777777" w:rsidR="00115F37" w:rsidRDefault="00115F37" w:rsidP="00115F37">
            <w:pPr>
              <w:jc w:val="both"/>
              <w:rPr>
                <w:rFonts w:eastAsia="Calibri"/>
              </w:rPr>
            </w:pPr>
          </w:p>
          <w:p w14:paraId="2AE860C2" w14:textId="77777777" w:rsidR="00115F37" w:rsidRDefault="00115F37" w:rsidP="00115F37">
            <w:pPr>
              <w:jc w:val="both"/>
              <w:rPr>
                <w:rFonts w:eastAsia="Calibri"/>
              </w:rPr>
            </w:pPr>
          </w:p>
          <w:p w14:paraId="4E803C82" w14:textId="6DD4964E" w:rsidR="00115F37" w:rsidRPr="001058BA" w:rsidRDefault="00115F37" w:rsidP="00115F37">
            <w:pPr>
              <w:jc w:val="both"/>
              <w:rPr>
                <w:rFonts w:eastAsia="Calibri"/>
              </w:rPr>
            </w:pPr>
            <w:r>
              <w:rPr>
                <w:rFonts w:eastAsia="Calibri"/>
              </w:rPr>
              <w:t>27.000</w:t>
            </w:r>
          </w:p>
        </w:tc>
        <w:tc>
          <w:tcPr>
            <w:tcW w:w="1176" w:type="dxa"/>
            <w:shd w:val="clear" w:color="auto" w:fill="auto"/>
          </w:tcPr>
          <w:p w14:paraId="596DEC22" w14:textId="77777777" w:rsidR="00115F37" w:rsidRDefault="00115F37" w:rsidP="00115F37">
            <w:pPr>
              <w:jc w:val="both"/>
              <w:rPr>
                <w:rFonts w:eastAsia="Calibri"/>
              </w:rPr>
            </w:pPr>
          </w:p>
          <w:p w14:paraId="6908CC03" w14:textId="77777777" w:rsidR="00115F37" w:rsidRDefault="00115F37" w:rsidP="00115F37">
            <w:pPr>
              <w:jc w:val="both"/>
              <w:rPr>
                <w:rFonts w:eastAsia="Calibri"/>
              </w:rPr>
            </w:pPr>
          </w:p>
          <w:p w14:paraId="53BAFFF0" w14:textId="11876C01" w:rsidR="00115F37" w:rsidRPr="001058BA" w:rsidRDefault="00115F37" w:rsidP="00115F37">
            <w:pPr>
              <w:jc w:val="both"/>
              <w:rPr>
                <w:rFonts w:eastAsia="Calibri"/>
              </w:rPr>
            </w:pPr>
            <w:r>
              <w:rPr>
                <w:rFonts w:eastAsia="Calibri"/>
              </w:rPr>
              <w:t>27.000</w:t>
            </w:r>
          </w:p>
        </w:tc>
        <w:tc>
          <w:tcPr>
            <w:tcW w:w="1176" w:type="dxa"/>
            <w:shd w:val="clear" w:color="auto" w:fill="auto"/>
          </w:tcPr>
          <w:p w14:paraId="15C91B9B" w14:textId="77777777" w:rsidR="00115F37" w:rsidRDefault="00115F37" w:rsidP="00115F37">
            <w:pPr>
              <w:jc w:val="both"/>
              <w:rPr>
                <w:rFonts w:eastAsia="Calibri"/>
              </w:rPr>
            </w:pPr>
          </w:p>
          <w:p w14:paraId="5F34B849" w14:textId="77777777" w:rsidR="00115F37" w:rsidRDefault="00115F37" w:rsidP="00115F37">
            <w:pPr>
              <w:jc w:val="both"/>
              <w:rPr>
                <w:rFonts w:eastAsia="Calibri"/>
              </w:rPr>
            </w:pPr>
          </w:p>
          <w:p w14:paraId="45022AED" w14:textId="048EC474" w:rsidR="00115F37" w:rsidRPr="001058BA" w:rsidRDefault="00115F37" w:rsidP="00115F37">
            <w:pPr>
              <w:jc w:val="both"/>
              <w:rPr>
                <w:rFonts w:eastAsia="Calibri"/>
              </w:rPr>
            </w:pPr>
            <w:r>
              <w:rPr>
                <w:rFonts w:eastAsia="Calibri"/>
              </w:rPr>
              <w:t>27.000</w:t>
            </w:r>
          </w:p>
        </w:tc>
        <w:tc>
          <w:tcPr>
            <w:tcW w:w="1074" w:type="dxa"/>
            <w:shd w:val="clear" w:color="auto" w:fill="auto"/>
          </w:tcPr>
          <w:p w14:paraId="706AE826" w14:textId="77777777" w:rsidR="00115F37" w:rsidRDefault="00115F37" w:rsidP="00115F37">
            <w:pPr>
              <w:jc w:val="both"/>
              <w:rPr>
                <w:rFonts w:eastAsia="Calibri"/>
              </w:rPr>
            </w:pPr>
          </w:p>
          <w:p w14:paraId="7F84BB98" w14:textId="77777777" w:rsidR="001A4DB7" w:rsidRDefault="001A4DB7" w:rsidP="00115F37">
            <w:pPr>
              <w:jc w:val="both"/>
              <w:rPr>
                <w:rFonts w:eastAsia="Calibri"/>
              </w:rPr>
            </w:pPr>
          </w:p>
          <w:p w14:paraId="36F66324" w14:textId="3AF73E46" w:rsidR="001A4DB7" w:rsidRPr="001058BA" w:rsidRDefault="001A4DB7" w:rsidP="00115F37">
            <w:pPr>
              <w:jc w:val="both"/>
              <w:rPr>
                <w:rFonts w:eastAsia="Calibri"/>
              </w:rPr>
            </w:pPr>
            <w:r>
              <w:rPr>
                <w:rFonts w:eastAsia="Calibri"/>
              </w:rPr>
              <w:t>0,85</w:t>
            </w:r>
          </w:p>
        </w:tc>
      </w:tr>
      <w:tr w:rsidR="003B2F13" w:rsidRPr="001058BA" w14:paraId="1B6F0CD6" w14:textId="77777777" w:rsidTr="00BD0845">
        <w:tc>
          <w:tcPr>
            <w:tcW w:w="3088" w:type="dxa"/>
            <w:shd w:val="clear" w:color="auto" w:fill="auto"/>
          </w:tcPr>
          <w:p w14:paraId="0FB4FF63" w14:textId="77777777" w:rsidR="00115F37" w:rsidRPr="00ED7B4E" w:rsidRDefault="00115F37" w:rsidP="00115F37">
            <w:pPr>
              <w:numPr>
                <w:ilvl w:val="0"/>
                <w:numId w:val="2"/>
              </w:numPr>
              <w:rPr>
                <w:rFonts w:eastAsia="Calibri"/>
                <w:sz w:val="22"/>
                <w:szCs w:val="22"/>
              </w:rPr>
            </w:pPr>
            <w:r w:rsidRPr="00ED7B4E">
              <w:rPr>
                <w:rFonts w:eastAsia="Calibri"/>
                <w:sz w:val="22"/>
                <w:szCs w:val="22"/>
              </w:rPr>
              <w:t>PRIHODI OD OBRADE POSMRTNIH OSTATAKA – MINISTARSTVO BRANITELJA</w:t>
            </w:r>
          </w:p>
        </w:tc>
        <w:tc>
          <w:tcPr>
            <w:tcW w:w="1096" w:type="dxa"/>
          </w:tcPr>
          <w:p w14:paraId="65345507" w14:textId="77777777" w:rsidR="00115F37" w:rsidRDefault="00115F37" w:rsidP="00115F37">
            <w:pPr>
              <w:jc w:val="both"/>
              <w:rPr>
                <w:rFonts w:eastAsia="Calibri"/>
              </w:rPr>
            </w:pPr>
          </w:p>
          <w:p w14:paraId="05293500" w14:textId="77777777" w:rsidR="00115F37" w:rsidRDefault="00115F37" w:rsidP="00115F37">
            <w:pPr>
              <w:jc w:val="both"/>
              <w:rPr>
                <w:rFonts w:eastAsia="Calibri"/>
              </w:rPr>
            </w:pPr>
          </w:p>
          <w:p w14:paraId="438D10AB" w14:textId="28324D69" w:rsidR="00115F37" w:rsidRPr="001058BA" w:rsidRDefault="003B2F13" w:rsidP="00115F37">
            <w:pPr>
              <w:jc w:val="both"/>
              <w:rPr>
                <w:rFonts w:eastAsia="Calibri"/>
              </w:rPr>
            </w:pPr>
            <w:r>
              <w:rPr>
                <w:rFonts w:eastAsia="Calibri"/>
              </w:rPr>
              <w:t>21</w:t>
            </w:r>
            <w:r w:rsidR="00115F37">
              <w:rPr>
                <w:rFonts w:eastAsia="Calibri"/>
              </w:rPr>
              <w:t>.611</w:t>
            </w:r>
          </w:p>
        </w:tc>
        <w:tc>
          <w:tcPr>
            <w:tcW w:w="996" w:type="dxa"/>
            <w:shd w:val="clear" w:color="auto" w:fill="auto"/>
          </w:tcPr>
          <w:p w14:paraId="44E97FFB" w14:textId="77777777" w:rsidR="00115F37" w:rsidRDefault="00115F37" w:rsidP="00115F37">
            <w:pPr>
              <w:jc w:val="both"/>
              <w:rPr>
                <w:rFonts w:eastAsia="Calibri"/>
              </w:rPr>
            </w:pPr>
          </w:p>
          <w:p w14:paraId="4CDF9141" w14:textId="77777777" w:rsidR="00115F37" w:rsidRDefault="00115F37" w:rsidP="00115F37">
            <w:pPr>
              <w:jc w:val="both"/>
              <w:rPr>
                <w:rFonts w:eastAsia="Calibri"/>
              </w:rPr>
            </w:pPr>
          </w:p>
          <w:p w14:paraId="4ABBAA5F" w14:textId="545B55A3" w:rsidR="00115F37" w:rsidRPr="001058BA" w:rsidRDefault="00115F37" w:rsidP="00115F37">
            <w:pPr>
              <w:jc w:val="both"/>
              <w:rPr>
                <w:rFonts w:eastAsia="Calibri"/>
              </w:rPr>
            </w:pPr>
            <w:r>
              <w:rPr>
                <w:rFonts w:eastAsia="Calibri"/>
              </w:rPr>
              <w:t>2</w:t>
            </w:r>
            <w:r w:rsidR="003B2F13">
              <w:rPr>
                <w:rFonts w:eastAsia="Calibri"/>
              </w:rPr>
              <w:t>2</w:t>
            </w:r>
            <w:r>
              <w:rPr>
                <w:rFonts w:eastAsia="Calibri"/>
              </w:rPr>
              <w:t>.105</w:t>
            </w:r>
          </w:p>
        </w:tc>
        <w:tc>
          <w:tcPr>
            <w:tcW w:w="1176" w:type="dxa"/>
            <w:shd w:val="clear" w:color="auto" w:fill="auto"/>
          </w:tcPr>
          <w:p w14:paraId="6F64935C" w14:textId="77777777" w:rsidR="00115F37" w:rsidRDefault="00115F37" w:rsidP="00115F37">
            <w:pPr>
              <w:jc w:val="both"/>
              <w:rPr>
                <w:rFonts w:eastAsia="Calibri"/>
              </w:rPr>
            </w:pPr>
          </w:p>
          <w:p w14:paraId="4F87EF37" w14:textId="77777777" w:rsidR="00115F37" w:rsidRDefault="00115F37" w:rsidP="00115F37">
            <w:pPr>
              <w:jc w:val="both"/>
              <w:rPr>
                <w:rFonts w:eastAsia="Calibri"/>
              </w:rPr>
            </w:pPr>
          </w:p>
          <w:p w14:paraId="080D1B37" w14:textId="08CE1CC2" w:rsidR="00115F37" w:rsidRPr="001058BA" w:rsidRDefault="00115F37" w:rsidP="00115F37">
            <w:pPr>
              <w:jc w:val="both"/>
              <w:rPr>
                <w:rFonts w:eastAsia="Calibri"/>
              </w:rPr>
            </w:pPr>
            <w:r>
              <w:rPr>
                <w:rFonts w:eastAsia="Calibri"/>
              </w:rPr>
              <w:t>20.000</w:t>
            </w:r>
          </w:p>
        </w:tc>
        <w:tc>
          <w:tcPr>
            <w:tcW w:w="1176" w:type="dxa"/>
            <w:shd w:val="clear" w:color="auto" w:fill="auto"/>
          </w:tcPr>
          <w:p w14:paraId="13471ED5" w14:textId="77777777" w:rsidR="00115F37" w:rsidRDefault="00115F37" w:rsidP="00115F37">
            <w:pPr>
              <w:jc w:val="both"/>
              <w:rPr>
                <w:rFonts w:eastAsia="Calibri"/>
              </w:rPr>
            </w:pPr>
          </w:p>
          <w:p w14:paraId="2A769B43" w14:textId="77777777" w:rsidR="00115F37" w:rsidRDefault="00115F37" w:rsidP="00115F37">
            <w:pPr>
              <w:jc w:val="both"/>
              <w:rPr>
                <w:rFonts w:eastAsia="Calibri"/>
              </w:rPr>
            </w:pPr>
          </w:p>
          <w:p w14:paraId="56AC2131" w14:textId="0CD2B468" w:rsidR="00115F37" w:rsidRPr="001058BA" w:rsidRDefault="00115F37" w:rsidP="00115F37">
            <w:pPr>
              <w:jc w:val="both"/>
              <w:rPr>
                <w:rFonts w:eastAsia="Calibri"/>
              </w:rPr>
            </w:pPr>
            <w:r>
              <w:rPr>
                <w:rFonts w:eastAsia="Calibri"/>
              </w:rPr>
              <w:t>25.000</w:t>
            </w:r>
          </w:p>
        </w:tc>
        <w:tc>
          <w:tcPr>
            <w:tcW w:w="1176" w:type="dxa"/>
            <w:shd w:val="clear" w:color="auto" w:fill="auto"/>
          </w:tcPr>
          <w:p w14:paraId="74135A3F" w14:textId="77777777" w:rsidR="00115F37" w:rsidRDefault="00115F37" w:rsidP="00115F37">
            <w:pPr>
              <w:jc w:val="both"/>
              <w:rPr>
                <w:rFonts w:eastAsia="Calibri"/>
              </w:rPr>
            </w:pPr>
          </w:p>
          <w:p w14:paraId="257A275D" w14:textId="77777777" w:rsidR="00115F37" w:rsidRDefault="00115F37" w:rsidP="00115F37">
            <w:pPr>
              <w:jc w:val="both"/>
              <w:rPr>
                <w:rFonts w:eastAsia="Calibri"/>
              </w:rPr>
            </w:pPr>
          </w:p>
          <w:p w14:paraId="087B16D4" w14:textId="11A9641F" w:rsidR="00115F37" w:rsidRPr="001058BA" w:rsidRDefault="00115F37" w:rsidP="00115F37">
            <w:pPr>
              <w:jc w:val="both"/>
              <w:rPr>
                <w:rFonts w:eastAsia="Calibri"/>
              </w:rPr>
            </w:pPr>
            <w:r>
              <w:rPr>
                <w:rFonts w:eastAsia="Calibri"/>
              </w:rPr>
              <w:t>25.000</w:t>
            </w:r>
          </w:p>
        </w:tc>
        <w:tc>
          <w:tcPr>
            <w:tcW w:w="1074" w:type="dxa"/>
            <w:shd w:val="clear" w:color="auto" w:fill="auto"/>
          </w:tcPr>
          <w:p w14:paraId="7D33F656" w14:textId="77777777" w:rsidR="00115F37" w:rsidRDefault="00115F37" w:rsidP="00115F37">
            <w:pPr>
              <w:jc w:val="both"/>
              <w:rPr>
                <w:rFonts w:eastAsia="Calibri"/>
              </w:rPr>
            </w:pPr>
          </w:p>
          <w:p w14:paraId="7C1DCCB6" w14:textId="77777777" w:rsidR="001A4DB7" w:rsidRDefault="001A4DB7" w:rsidP="00115F37">
            <w:pPr>
              <w:jc w:val="both"/>
              <w:rPr>
                <w:rFonts w:eastAsia="Calibri"/>
              </w:rPr>
            </w:pPr>
          </w:p>
          <w:p w14:paraId="01685AC6" w14:textId="2590F859" w:rsidR="001A4DB7" w:rsidRPr="001058BA" w:rsidRDefault="001A4DB7" w:rsidP="00115F37">
            <w:pPr>
              <w:jc w:val="both"/>
              <w:rPr>
                <w:rFonts w:eastAsia="Calibri"/>
              </w:rPr>
            </w:pPr>
            <w:r>
              <w:rPr>
                <w:rFonts w:eastAsia="Calibri"/>
              </w:rPr>
              <w:t>0,94</w:t>
            </w:r>
          </w:p>
        </w:tc>
      </w:tr>
      <w:tr w:rsidR="003B2F13" w:rsidRPr="001058BA" w14:paraId="40AE21D1" w14:textId="77777777" w:rsidTr="00BD0845">
        <w:tc>
          <w:tcPr>
            <w:tcW w:w="3088" w:type="dxa"/>
            <w:shd w:val="clear" w:color="auto" w:fill="auto"/>
          </w:tcPr>
          <w:p w14:paraId="0E4C3C59" w14:textId="7C00903E" w:rsidR="00115F37" w:rsidRPr="00ED7B4E" w:rsidRDefault="00115F37" w:rsidP="00115F37">
            <w:pPr>
              <w:numPr>
                <w:ilvl w:val="0"/>
                <w:numId w:val="2"/>
              </w:numPr>
              <w:rPr>
                <w:rFonts w:eastAsia="Calibri"/>
                <w:sz w:val="22"/>
                <w:szCs w:val="22"/>
              </w:rPr>
            </w:pPr>
            <w:r w:rsidRPr="00ED7B4E">
              <w:rPr>
                <w:rFonts w:eastAsia="Calibri"/>
                <w:sz w:val="22"/>
                <w:szCs w:val="22"/>
              </w:rPr>
              <w:t>PRIHODI OD VJEŠTA</w:t>
            </w:r>
            <w:r w:rsidR="003B2F13">
              <w:rPr>
                <w:rFonts w:eastAsia="Calibri"/>
                <w:sz w:val="22"/>
                <w:szCs w:val="22"/>
              </w:rPr>
              <w:t>Č</w:t>
            </w:r>
            <w:r w:rsidRPr="00ED7B4E">
              <w:rPr>
                <w:rFonts w:eastAsia="Calibri"/>
                <w:sz w:val="22"/>
                <w:szCs w:val="22"/>
              </w:rPr>
              <w:t>ENJA</w:t>
            </w:r>
          </w:p>
        </w:tc>
        <w:tc>
          <w:tcPr>
            <w:tcW w:w="1096" w:type="dxa"/>
          </w:tcPr>
          <w:p w14:paraId="1DB3CFB4" w14:textId="076C08E4" w:rsidR="00115F37" w:rsidRPr="001058BA" w:rsidRDefault="00115F37" w:rsidP="00115F37">
            <w:pPr>
              <w:jc w:val="both"/>
              <w:rPr>
                <w:rFonts w:eastAsia="Calibri"/>
              </w:rPr>
            </w:pPr>
            <w:r>
              <w:rPr>
                <w:rFonts w:eastAsia="Calibri"/>
              </w:rPr>
              <w:t>23.165</w:t>
            </w:r>
          </w:p>
        </w:tc>
        <w:tc>
          <w:tcPr>
            <w:tcW w:w="996" w:type="dxa"/>
            <w:shd w:val="clear" w:color="auto" w:fill="auto"/>
          </w:tcPr>
          <w:p w14:paraId="1633F26A" w14:textId="3FF145FE" w:rsidR="00115F37" w:rsidRPr="001058BA" w:rsidRDefault="00115F37" w:rsidP="00115F37">
            <w:pPr>
              <w:jc w:val="both"/>
              <w:rPr>
                <w:rFonts w:eastAsia="Calibri"/>
              </w:rPr>
            </w:pPr>
            <w:r>
              <w:rPr>
                <w:rFonts w:eastAsia="Calibri"/>
              </w:rPr>
              <w:t>14.000</w:t>
            </w:r>
          </w:p>
        </w:tc>
        <w:tc>
          <w:tcPr>
            <w:tcW w:w="1176" w:type="dxa"/>
            <w:shd w:val="clear" w:color="auto" w:fill="auto"/>
          </w:tcPr>
          <w:p w14:paraId="61E7894F" w14:textId="096627FA" w:rsidR="00115F37" w:rsidRPr="001058BA" w:rsidRDefault="00115F37" w:rsidP="00115F37">
            <w:pPr>
              <w:jc w:val="both"/>
              <w:rPr>
                <w:rFonts w:eastAsia="Calibri"/>
              </w:rPr>
            </w:pPr>
            <w:r>
              <w:rPr>
                <w:rFonts w:eastAsia="Calibri"/>
              </w:rPr>
              <w:t>10.000</w:t>
            </w:r>
          </w:p>
        </w:tc>
        <w:tc>
          <w:tcPr>
            <w:tcW w:w="1176" w:type="dxa"/>
            <w:shd w:val="clear" w:color="auto" w:fill="auto"/>
          </w:tcPr>
          <w:p w14:paraId="0A8B981F" w14:textId="5F9B3921" w:rsidR="00115F37" w:rsidRPr="001058BA" w:rsidRDefault="00115F37" w:rsidP="00115F37">
            <w:pPr>
              <w:jc w:val="both"/>
              <w:rPr>
                <w:rFonts w:eastAsia="Calibri"/>
              </w:rPr>
            </w:pPr>
            <w:r>
              <w:rPr>
                <w:rFonts w:eastAsia="Calibri"/>
              </w:rPr>
              <w:t>10.000</w:t>
            </w:r>
          </w:p>
        </w:tc>
        <w:tc>
          <w:tcPr>
            <w:tcW w:w="1176" w:type="dxa"/>
            <w:shd w:val="clear" w:color="auto" w:fill="auto"/>
          </w:tcPr>
          <w:p w14:paraId="28579529" w14:textId="1D78A8B4" w:rsidR="00115F37" w:rsidRPr="001058BA" w:rsidRDefault="00115F37" w:rsidP="00115F37">
            <w:pPr>
              <w:jc w:val="both"/>
              <w:rPr>
                <w:rFonts w:eastAsia="Calibri"/>
              </w:rPr>
            </w:pPr>
            <w:r>
              <w:rPr>
                <w:rFonts w:eastAsia="Calibri"/>
              </w:rPr>
              <w:t>10.000</w:t>
            </w:r>
          </w:p>
        </w:tc>
        <w:tc>
          <w:tcPr>
            <w:tcW w:w="1074" w:type="dxa"/>
            <w:shd w:val="clear" w:color="auto" w:fill="auto"/>
          </w:tcPr>
          <w:p w14:paraId="43020CB4" w14:textId="122C4472" w:rsidR="00115F37" w:rsidRPr="001058BA" w:rsidRDefault="001A4DB7" w:rsidP="00115F37">
            <w:pPr>
              <w:jc w:val="both"/>
              <w:rPr>
                <w:rFonts w:eastAsia="Calibri"/>
              </w:rPr>
            </w:pPr>
            <w:r>
              <w:rPr>
                <w:rFonts w:eastAsia="Calibri"/>
              </w:rPr>
              <w:t>0,71</w:t>
            </w:r>
          </w:p>
        </w:tc>
      </w:tr>
      <w:tr w:rsidR="003B2F13" w:rsidRPr="001058BA" w14:paraId="1FC8A5C2" w14:textId="77777777" w:rsidTr="00BD0845">
        <w:tc>
          <w:tcPr>
            <w:tcW w:w="3088" w:type="dxa"/>
            <w:shd w:val="clear" w:color="auto" w:fill="auto"/>
          </w:tcPr>
          <w:p w14:paraId="73543341" w14:textId="77777777" w:rsidR="00115F37" w:rsidRPr="00ED7B4E" w:rsidRDefault="00115F37" w:rsidP="00115F37">
            <w:pPr>
              <w:numPr>
                <w:ilvl w:val="0"/>
                <w:numId w:val="2"/>
              </w:numPr>
              <w:rPr>
                <w:rFonts w:eastAsia="Calibri"/>
                <w:sz w:val="22"/>
                <w:szCs w:val="22"/>
              </w:rPr>
            </w:pPr>
            <w:r w:rsidRPr="00ED7B4E">
              <w:rPr>
                <w:rFonts w:eastAsia="Calibri"/>
                <w:sz w:val="22"/>
                <w:szCs w:val="22"/>
              </w:rPr>
              <w:t>PRIHODI OD IZBORA U ZNANSTVENA ZVANJA</w:t>
            </w:r>
          </w:p>
        </w:tc>
        <w:tc>
          <w:tcPr>
            <w:tcW w:w="1096" w:type="dxa"/>
          </w:tcPr>
          <w:p w14:paraId="003F26C6" w14:textId="166E6193" w:rsidR="00115F37" w:rsidRPr="001058BA" w:rsidRDefault="00115F37" w:rsidP="00115F37">
            <w:pPr>
              <w:jc w:val="both"/>
              <w:rPr>
                <w:rFonts w:eastAsia="Calibri"/>
              </w:rPr>
            </w:pPr>
            <w:r>
              <w:rPr>
                <w:rFonts w:eastAsia="Calibri"/>
              </w:rPr>
              <w:t>17.254</w:t>
            </w:r>
          </w:p>
        </w:tc>
        <w:tc>
          <w:tcPr>
            <w:tcW w:w="996" w:type="dxa"/>
            <w:shd w:val="clear" w:color="auto" w:fill="auto"/>
          </w:tcPr>
          <w:p w14:paraId="11BF2B9C" w14:textId="5CD16081" w:rsidR="00115F37" w:rsidRPr="001058BA" w:rsidRDefault="00115F37" w:rsidP="00115F37">
            <w:pPr>
              <w:jc w:val="both"/>
              <w:rPr>
                <w:rFonts w:eastAsia="Calibri"/>
              </w:rPr>
            </w:pPr>
            <w:r>
              <w:rPr>
                <w:rFonts w:eastAsia="Calibri"/>
              </w:rPr>
              <w:t>27.500</w:t>
            </w:r>
          </w:p>
        </w:tc>
        <w:tc>
          <w:tcPr>
            <w:tcW w:w="1176" w:type="dxa"/>
            <w:shd w:val="clear" w:color="auto" w:fill="auto"/>
          </w:tcPr>
          <w:p w14:paraId="6DF8C38E" w14:textId="70143DA7" w:rsidR="00115F37" w:rsidRPr="001058BA" w:rsidRDefault="00115F37" w:rsidP="00115F37">
            <w:pPr>
              <w:jc w:val="both"/>
              <w:rPr>
                <w:rFonts w:eastAsia="Calibri"/>
              </w:rPr>
            </w:pPr>
            <w:r>
              <w:rPr>
                <w:rFonts w:eastAsia="Calibri"/>
              </w:rPr>
              <w:t>14.000</w:t>
            </w:r>
          </w:p>
        </w:tc>
        <w:tc>
          <w:tcPr>
            <w:tcW w:w="1176" w:type="dxa"/>
            <w:shd w:val="clear" w:color="auto" w:fill="auto"/>
          </w:tcPr>
          <w:p w14:paraId="7B731C85" w14:textId="60EB9881" w:rsidR="00115F37" w:rsidRPr="001058BA" w:rsidRDefault="00115F37" w:rsidP="00115F37">
            <w:pPr>
              <w:jc w:val="both"/>
              <w:rPr>
                <w:rFonts w:eastAsia="Calibri"/>
              </w:rPr>
            </w:pPr>
            <w:r>
              <w:rPr>
                <w:rFonts w:eastAsia="Calibri"/>
              </w:rPr>
              <w:t>14.000</w:t>
            </w:r>
          </w:p>
        </w:tc>
        <w:tc>
          <w:tcPr>
            <w:tcW w:w="1176" w:type="dxa"/>
            <w:shd w:val="clear" w:color="auto" w:fill="auto"/>
          </w:tcPr>
          <w:p w14:paraId="0A1A08FD" w14:textId="38ECBE9C" w:rsidR="00115F37" w:rsidRPr="001058BA" w:rsidRDefault="00115F37" w:rsidP="00115F37">
            <w:pPr>
              <w:jc w:val="both"/>
              <w:rPr>
                <w:rFonts w:eastAsia="Calibri"/>
              </w:rPr>
            </w:pPr>
            <w:r>
              <w:rPr>
                <w:rFonts w:eastAsia="Calibri"/>
              </w:rPr>
              <w:t>14.000</w:t>
            </w:r>
          </w:p>
        </w:tc>
        <w:tc>
          <w:tcPr>
            <w:tcW w:w="1074" w:type="dxa"/>
            <w:shd w:val="clear" w:color="auto" w:fill="auto"/>
          </w:tcPr>
          <w:p w14:paraId="23D79054" w14:textId="49895017" w:rsidR="00115F37" w:rsidRPr="001058BA" w:rsidRDefault="001A4DB7" w:rsidP="00115F37">
            <w:pPr>
              <w:jc w:val="both"/>
              <w:rPr>
                <w:rFonts w:eastAsia="Calibri"/>
              </w:rPr>
            </w:pPr>
            <w:r>
              <w:rPr>
                <w:rFonts w:eastAsia="Calibri"/>
              </w:rPr>
              <w:t>0,50</w:t>
            </w:r>
          </w:p>
        </w:tc>
      </w:tr>
      <w:tr w:rsidR="003B2F13" w:rsidRPr="001058BA" w14:paraId="5B278EEA" w14:textId="77777777" w:rsidTr="00BD0845">
        <w:tc>
          <w:tcPr>
            <w:tcW w:w="3088" w:type="dxa"/>
            <w:shd w:val="clear" w:color="auto" w:fill="auto"/>
          </w:tcPr>
          <w:p w14:paraId="72897541" w14:textId="533833D8" w:rsidR="00115F37" w:rsidRPr="00ED7B4E" w:rsidRDefault="00115F37" w:rsidP="00115F37">
            <w:pPr>
              <w:numPr>
                <w:ilvl w:val="0"/>
                <w:numId w:val="2"/>
              </w:numPr>
              <w:rPr>
                <w:rFonts w:eastAsia="Calibri"/>
                <w:sz w:val="22"/>
                <w:szCs w:val="22"/>
              </w:rPr>
            </w:pPr>
            <w:r w:rsidRPr="0031654D">
              <w:rPr>
                <w:rFonts w:eastAsia="Calibri"/>
                <w:sz w:val="22"/>
                <w:szCs w:val="22"/>
              </w:rPr>
              <w:t>PRIHODI OD UPISA I ŠKOLARINA SPECIJALISTIČKIH STUDIJA</w:t>
            </w:r>
          </w:p>
        </w:tc>
        <w:tc>
          <w:tcPr>
            <w:tcW w:w="1096" w:type="dxa"/>
          </w:tcPr>
          <w:p w14:paraId="1E642831" w14:textId="7B3C12EB" w:rsidR="00115F37" w:rsidRDefault="00115F37" w:rsidP="00115F37">
            <w:pPr>
              <w:jc w:val="both"/>
              <w:rPr>
                <w:rFonts w:eastAsia="Calibri"/>
              </w:rPr>
            </w:pPr>
            <w:r>
              <w:rPr>
                <w:rFonts w:eastAsia="Calibri"/>
              </w:rPr>
              <w:t>38.904</w:t>
            </w:r>
          </w:p>
        </w:tc>
        <w:tc>
          <w:tcPr>
            <w:tcW w:w="996" w:type="dxa"/>
            <w:shd w:val="clear" w:color="auto" w:fill="auto"/>
          </w:tcPr>
          <w:p w14:paraId="036690BC" w14:textId="62707124" w:rsidR="00115F37" w:rsidRDefault="00115F37" w:rsidP="00115F37">
            <w:pPr>
              <w:jc w:val="both"/>
              <w:rPr>
                <w:rFonts w:eastAsia="Calibri"/>
              </w:rPr>
            </w:pPr>
            <w:r>
              <w:rPr>
                <w:rFonts w:eastAsia="Calibri"/>
              </w:rPr>
              <w:t>35.500</w:t>
            </w:r>
          </w:p>
        </w:tc>
        <w:tc>
          <w:tcPr>
            <w:tcW w:w="1176" w:type="dxa"/>
            <w:shd w:val="clear" w:color="auto" w:fill="auto"/>
          </w:tcPr>
          <w:p w14:paraId="10CB20DD" w14:textId="53D65F55" w:rsidR="00115F37" w:rsidRPr="001058BA" w:rsidRDefault="00BD0845" w:rsidP="00115F37">
            <w:pPr>
              <w:jc w:val="both"/>
              <w:rPr>
                <w:rFonts w:eastAsia="Calibri"/>
              </w:rPr>
            </w:pPr>
            <w:r>
              <w:rPr>
                <w:rFonts w:eastAsia="Calibri"/>
              </w:rPr>
              <w:t>45</w:t>
            </w:r>
            <w:r w:rsidR="003B2F13">
              <w:rPr>
                <w:rFonts w:eastAsia="Calibri"/>
              </w:rPr>
              <w:t>.</w:t>
            </w:r>
            <w:r>
              <w:rPr>
                <w:rFonts w:eastAsia="Calibri"/>
              </w:rPr>
              <w:t>5</w:t>
            </w:r>
            <w:r w:rsidR="003B2F13">
              <w:rPr>
                <w:rFonts w:eastAsia="Calibri"/>
              </w:rPr>
              <w:t>0</w:t>
            </w:r>
            <w:r w:rsidR="00115F37">
              <w:rPr>
                <w:rFonts w:eastAsia="Calibri"/>
              </w:rPr>
              <w:t>0,00</w:t>
            </w:r>
          </w:p>
        </w:tc>
        <w:tc>
          <w:tcPr>
            <w:tcW w:w="1176" w:type="dxa"/>
            <w:shd w:val="clear" w:color="auto" w:fill="auto"/>
          </w:tcPr>
          <w:p w14:paraId="5BB88A56" w14:textId="6D692201" w:rsidR="00115F37" w:rsidRPr="001058BA" w:rsidRDefault="00BD0845" w:rsidP="00115F37">
            <w:pPr>
              <w:jc w:val="both"/>
              <w:rPr>
                <w:rFonts w:eastAsia="Calibri"/>
              </w:rPr>
            </w:pPr>
            <w:r>
              <w:rPr>
                <w:rFonts w:eastAsia="Calibri"/>
              </w:rPr>
              <w:t>40</w:t>
            </w:r>
            <w:r w:rsidR="003B2F13">
              <w:rPr>
                <w:rFonts w:eastAsia="Calibri"/>
              </w:rPr>
              <w:t>.000</w:t>
            </w:r>
            <w:r w:rsidR="001A4DB7">
              <w:rPr>
                <w:rFonts w:eastAsia="Calibri"/>
              </w:rPr>
              <w:t>,00</w:t>
            </w:r>
          </w:p>
        </w:tc>
        <w:tc>
          <w:tcPr>
            <w:tcW w:w="1176" w:type="dxa"/>
            <w:shd w:val="clear" w:color="auto" w:fill="auto"/>
          </w:tcPr>
          <w:p w14:paraId="40219B0D" w14:textId="6CD7AA9E" w:rsidR="00115F37" w:rsidRDefault="00BD0845" w:rsidP="00115F37">
            <w:pPr>
              <w:jc w:val="both"/>
              <w:rPr>
                <w:rFonts w:eastAsia="Calibri"/>
              </w:rPr>
            </w:pPr>
            <w:r>
              <w:rPr>
                <w:rFonts w:eastAsia="Calibri"/>
              </w:rPr>
              <w:t>40</w:t>
            </w:r>
            <w:r w:rsidR="003B2F13">
              <w:rPr>
                <w:rFonts w:eastAsia="Calibri"/>
              </w:rPr>
              <w:t>.00</w:t>
            </w:r>
            <w:r w:rsidR="001A4DB7">
              <w:rPr>
                <w:rFonts w:eastAsia="Calibri"/>
              </w:rPr>
              <w:t>0,00</w:t>
            </w:r>
          </w:p>
          <w:p w14:paraId="519FED18" w14:textId="794DFE4C" w:rsidR="00B2281C" w:rsidRPr="001058BA" w:rsidRDefault="00B2281C" w:rsidP="00115F37">
            <w:pPr>
              <w:jc w:val="both"/>
              <w:rPr>
                <w:rFonts w:eastAsia="Calibri"/>
              </w:rPr>
            </w:pPr>
          </w:p>
        </w:tc>
        <w:tc>
          <w:tcPr>
            <w:tcW w:w="1074" w:type="dxa"/>
            <w:shd w:val="clear" w:color="auto" w:fill="auto"/>
          </w:tcPr>
          <w:p w14:paraId="7F57821D" w14:textId="46B2D7FF" w:rsidR="00115F37" w:rsidRPr="001058BA" w:rsidRDefault="00F8427B" w:rsidP="00115F37">
            <w:pPr>
              <w:jc w:val="both"/>
              <w:rPr>
                <w:rFonts w:eastAsia="Calibri"/>
              </w:rPr>
            </w:pPr>
            <w:r>
              <w:rPr>
                <w:rFonts w:eastAsia="Calibri"/>
              </w:rPr>
              <w:t>0,62</w:t>
            </w:r>
          </w:p>
        </w:tc>
      </w:tr>
      <w:tr w:rsidR="00BD0845" w:rsidRPr="001058BA" w14:paraId="11284D4F" w14:textId="77777777" w:rsidTr="00BD0845">
        <w:tc>
          <w:tcPr>
            <w:tcW w:w="3088" w:type="dxa"/>
            <w:shd w:val="clear" w:color="auto" w:fill="auto"/>
          </w:tcPr>
          <w:p w14:paraId="0AC4B920" w14:textId="77777777" w:rsidR="00BD0845" w:rsidRPr="001058BA" w:rsidRDefault="00BD0845" w:rsidP="00BD0845">
            <w:pPr>
              <w:rPr>
                <w:rFonts w:eastAsia="Calibri"/>
              </w:rPr>
            </w:pPr>
            <w:r w:rsidRPr="001058BA">
              <w:rPr>
                <w:rFonts w:eastAsia="Calibri"/>
              </w:rPr>
              <w:t>SVEUKUPNO :</w:t>
            </w:r>
          </w:p>
        </w:tc>
        <w:tc>
          <w:tcPr>
            <w:tcW w:w="1096" w:type="dxa"/>
          </w:tcPr>
          <w:p w14:paraId="37FEBB25" w14:textId="7E2012BF" w:rsidR="00BD0845" w:rsidRPr="001058BA" w:rsidRDefault="00BD0845" w:rsidP="00BD0845">
            <w:pPr>
              <w:jc w:val="both"/>
              <w:rPr>
                <w:rFonts w:eastAsia="Calibri"/>
              </w:rPr>
            </w:pPr>
            <w:r>
              <w:rPr>
                <w:rFonts w:eastAsia="Calibri"/>
              </w:rPr>
              <w:t>140.673</w:t>
            </w:r>
          </w:p>
        </w:tc>
        <w:tc>
          <w:tcPr>
            <w:tcW w:w="996" w:type="dxa"/>
            <w:shd w:val="clear" w:color="auto" w:fill="auto"/>
          </w:tcPr>
          <w:p w14:paraId="425E4EF6" w14:textId="53A5A1E5" w:rsidR="00BD0845" w:rsidRPr="001058BA" w:rsidRDefault="00BD0845" w:rsidP="00BD0845">
            <w:pPr>
              <w:jc w:val="both"/>
              <w:rPr>
                <w:rFonts w:eastAsia="Calibri"/>
              </w:rPr>
            </w:pPr>
            <w:r>
              <w:rPr>
                <w:rFonts w:eastAsia="Calibri"/>
              </w:rPr>
              <w:t>153.294</w:t>
            </w:r>
          </w:p>
        </w:tc>
        <w:tc>
          <w:tcPr>
            <w:tcW w:w="1176" w:type="dxa"/>
            <w:shd w:val="clear" w:color="auto" w:fill="auto"/>
          </w:tcPr>
          <w:p w14:paraId="37080903" w14:textId="60849CD2" w:rsidR="00BD0845" w:rsidRPr="001058BA" w:rsidRDefault="00BD0845" w:rsidP="00BD0845">
            <w:pPr>
              <w:jc w:val="both"/>
              <w:rPr>
                <w:rFonts w:eastAsia="Calibri"/>
              </w:rPr>
            </w:pPr>
            <w:r>
              <w:rPr>
                <w:rFonts w:eastAsia="Calibri"/>
              </w:rPr>
              <w:t>106.000</w:t>
            </w:r>
          </w:p>
        </w:tc>
        <w:tc>
          <w:tcPr>
            <w:tcW w:w="1176" w:type="dxa"/>
            <w:shd w:val="clear" w:color="auto" w:fill="auto"/>
          </w:tcPr>
          <w:p w14:paraId="4A4E832B" w14:textId="38BAA0C5" w:rsidR="00BD0845" w:rsidRPr="001058BA" w:rsidRDefault="00BD0845" w:rsidP="00BD0845">
            <w:pPr>
              <w:jc w:val="both"/>
              <w:rPr>
                <w:rFonts w:eastAsia="Calibri"/>
              </w:rPr>
            </w:pPr>
            <w:r>
              <w:rPr>
                <w:rFonts w:eastAsia="Calibri"/>
              </w:rPr>
              <w:t>106.000</w:t>
            </w:r>
          </w:p>
        </w:tc>
        <w:tc>
          <w:tcPr>
            <w:tcW w:w="1176" w:type="dxa"/>
            <w:shd w:val="clear" w:color="auto" w:fill="auto"/>
          </w:tcPr>
          <w:p w14:paraId="410AE29C" w14:textId="3216B14A" w:rsidR="00BD0845" w:rsidRPr="001058BA" w:rsidRDefault="00BD0845" w:rsidP="00BD0845">
            <w:pPr>
              <w:jc w:val="both"/>
              <w:rPr>
                <w:rFonts w:eastAsia="Calibri"/>
              </w:rPr>
            </w:pPr>
            <w:r>
              <w:rPr>
                <w:rFonts w:eastAsia="Calibri"/>
              </w:rPr>
              <w:t>106.000</w:t>
            </w:r>
          </w:p>
        </w:tc>
        <w:tc>
          <w:tcPr>
            <w:tcW w:w="1074" w:type="dxa"/>
            <w:shd w:val="clear" w:color="auto" w:fill="auto"/>
          </w:tcPr>
          <w:p w14:paraId="59A45A47" w14:textId="77777777" w:rsidR="00BD0845" w:rsidRPr="001058BA" w:rsidRDefault="00BD0845" w:rsidP="00BD0845">
            <w:pPr>
              <w:jc w:val="both"/>
              <w:rPr>
                <w:rFonts w:eastAsia="Calibri"/>
              </w:rPr>
            </w:pPr>
          </w:p>
        </w:tc>
      </w:tr>
    </w:tbl>
    <w:p w14:paraId="522A784F" w14:textId="77777777" w:rsidR="00FF09D7" w:rsidRPr="001058BA" w:rsidRDefault="00FF09D7" w:rsidP="00FF09D7"/>
    <w:p w14:paraId="425659C6" w14:textId="77777777" w:rsidR="00FF09D7" w:rsidRPr="001058BA" w:rsidRDefault="00FF09D7" w:rsidP="00FF09D7"/>
    <w:p w14:paraId="05BECA10" w14:textId="77777777" w:rsidR="00FF09D7" w:rsidRPr="004B6A56" w:rsidRDefault="00FF09D7" w:rsidP="00FF09D7">
      <w:pPr>
        <w:rPr>
          <w:b/>
        </w:rPr>
      </w:pPr>
      <w:r w:rsidRPr="004B6A56">
        <w:rPr>
          <w:b/>
        </w:rPr>
        <w:t>IZVOR  43 – NAMJENSKI PRIHODI I PRIMICI</w:t>
      </w:r>
    </w:p>
    <w:p w14:paraId="035A8615" w14:textId="77777777" w:rsidR="00FF09D7" w:rsidRPr="001058BA" w:rsidRDefault="00FF09D7" w:rsidP="00FF09D7"/>
    <w:p w14:paraId="42D684EF" w14:textId="6CCA7F6B" w:rsidR="00FF09D7" w:rsidRPr="001058BA" w:rsidRDefault="00FF09D7" w:rsidP="00FF09D7">
      <w:r w:rsidRPr="001058BA">
        <w:t xml:space="preserve">U namjenske prihode i primitke  ubrajamo prihode ostvarene od upisnina, indeksa i diploma, prihode od školarina za </w:t>
      </w:r>
      <w:r w:rsidR="00B2281C">
        <w:t xml:space="preserve">sveučilišni </w:t>
      </w:r>
      <w:r w:rsidRPr="001058BA">
        <w:t>pr</w:t>
      </w:r>
      <w:r w:rsidR="00B2281C">
        <w:t>ije</w:t>
      </w:r>
      <w:r w:rsidRPr="001058BA">
        <w:t xml:space="preserve">diplomski studij </w:t>
      </w:r>
      <w:r w:rsidR="002002D1">
        <w:t>M</w:t>
      </w:r>
      <w:r w:rsidRPr="001058BA">
        <w:t>edicinsko laboratorijske dijagnostike,</w:t>
      </w:r>
      <w:r w:rsidR="00B2281C">
        <w:t xml:space="preserve"> sveučilišni </w:t>
      </w:r>
      <w:r w:rsidR="00B2281C" w:rsidRPr="001058BA">
        <w:t xml:space="preserve">diplomski studij </w:t>
      </w:r>
      <w:r w:rsidR="002002D1">
        <w:t>M</w:t>
      </w:r>
      <w:r w:rsidR="00B2281C" w:rsidRPr="001058BA">
        <w:t xml:space="preserve">edicinsko laboratorijske </w:t>
      </w:r>
      <w:r w:rsidR="00B2281C">
        <w:t>dijagnostike,</w:t>
      </w:r>
      <w:r w:rsidRPr="001058BA">
        <w:t xml:space="preserve"> </w:t>
      </w:r>
      <w:r w:rsidR="00B2281C">
        <w:t>sveučilišni</w:t>
      </w:r>
      <w:r w:rsidR="00B2281C" w:rsidRPr="001058BA">
        <w:t xml:space="preserve"> </w:t>
      </w:r>
      <w:r w:rsidR="00B2281C">
        <w:t xml:space="preserve"> </w:t>
      </w:r>
      <w:r w:rsidRPr="001058BA">
        <w:t>integrirani pr</w:t>
      </w:r>
      <w:r w:rsidR="00B2281C">
        <w:t>ije</w:t>
      </w:r>
      <w:r w:rsidRPr="001058BA">
        <w:t xml:space="preserve">diplomski i diplomski studij </w:t>
      </w:r>
      <w:r w:rsidR="002002D1">
        <w:t>M</w:t>
      </w:r>
      <w:r w:rsidRPr="001058BA">
        <w:t xml:space="preserve">edicine, prihode od školarina za </w:t>
      </w:r>
      <w:r w:rsidR="00153F83">
        <w:t xml:space="preserve">sveučilišni </w:t>
      </w:r>
      <w:r w:rsidRPr="001058BA">
        <w:t>integrirani pr</w:t>
      </w:r>
      <w:r w:rsidR="00153F83">
        <w:t>ij</w:t>
      </w:r>
      <w:r w:rsidRPr="001058BA">
        <w:t>ediplomski i diplomski studij Medicine na njemačkom jeziku, školarine za doktorski studij Biomedicine i zdravstva</w:t>
      </w:r>
      <w:r w:rsidR="00153F83">
        <w:t>, te, od ove godine, i  školarine za sveučilišne specijalističke studije.</w:t>
      </w:r>
    </w:p>
    <w:p w14:paraId="3AB68C3B" w14:textId="77777777" w:rsidR="004B6A56" w:rsidRDefault="004B6A56" w:rsidP="00FF09D7"/>
    <w:p w14:paraId="082E913F" w14:textId="4F7EA3D4" w:rsidR="00FF09D7" w:rsidRPr="001058BA" w:rsidRDefault="00FF09D7" w:rsidP="00FF09D7">
      <w:r>
        <w:t>Ukupno je planirano ostvariti prihod u iznosu od 1.</w:t>
      </w:r>
      <w:r w:rsidR="00F8427B">
        <w:t>4</w:t>
      </w:r>
      <w:r w:rsidR="00BD0845">
        <w:t>22</w:t>
      </w:r>
      <w:r w:rsidR="00F8427B">
        <w:t>.</w:t>
      </w:r>
      <w:r w:rsidR="00BD0845">
        <w:t>70</w:t>
      </w:r>
      <w:r w:rsidR="00F8427B">
        <w:t xml:space="preserve">0 </w:t>
      </w:r>
      <w:r>
        <w:t>EUR-a.</w:t>
      </w:r>
    </w:p>
    <w:p w14:paraId="7D86E13E" w14:textId="77777777" w:rsidR="0099378A" w:rsidRPr="001058BA" w:rsidRDefault="0099378A" w:rsidP="00FF09D7"/>
    <w:p w14:paraId="3A7C130A" w14:textId="77777777" w:rsidR="0099378A" w:rsidRPr="00C76846" w:rsidRDefault="0099378A" w:rsidP="0099378A">
      <w:pPr>
        <w:jc w:val="right"/>
      </w:pPr>
      <w:r w:rsidRPr="00C76846">
        <w:t>Podaci su izraženi u EUR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1276"/>
        <w:gridCol w:w="1276"/>
        <w:gridCol w:w="1275"/>
        <w:gridCol w:w="1276"/>
        <w:gridCol w:w="1276"/>
        <w:gridCol w:w="850"/>
      </w:tblGrid>
      <w:tr w:rsidR="0099378A" w:rsidRPr="001058BA" w14:paraId="466E4215" w14:textId="77777777" w:rsidTr="00666C29">
        <w:tc>
          <w:tcPr>
            <w:tcW w:w="2518" w:type="dxa"/>
            <w:shd w:val="clear" w:color="auto" w:fill="D0CECE"/>
          </w:tcPr>
          <w:p w14:paraId="44F348DD" w14:textId="77777777" w:rsidR="0099378A" w:rsidRPr="001058BA" w:rsidRDefault="0099378A" w:rsidP="0099378A">
            <w:pPr>
              <w:jc w:val="both"/>
              <w:rPr>
                <w:rFonts w:eastAsia="Calibri"/>
              </w:rPr>
            </w:pPr>
          </w:p>
          <w:p w14:paraId="443F2525" w14:textId="77777777" w:rsidR="0099378A" w:rsidRPr="001058BA" w:rsidRDefault="0099378A" w:rsidP="0099378A">
            <w:pPr>
              <w:jc w:val="both"/>
              <w:rPr>
                <w:rFonts w:eastAsia="Calibri"/>
              </w:rPr>
            </w:pPr>
          </w:p>
        </w:tc>
        <w:tc>
          <w:tcPr>
            <w:tcW w:w="1276" w:type="dxa"/>
            <w:shd w:val="clear" w:color="auto" w:fill="D0CECE"/>
          </w:tcPr>
          <w:p w14:paraId="4580D4A2" w14:textId="18050099" w:rsidR="0099378A" w:rsidRPr="007B6805" w:rsidRDefault="0099378A" w:rsidP="0099378A">
            <w:pPr>
              <w:jc w:val="center"/>
              <w:rPr>
                <w:rFonts w:eastAsia="Calibri"/>
                <w:sz w:val="22"/>
                <w:szCs w:val="22"/>
              </w:rPr>
            </w:pPr>
            <w:r w:rsidRPr="007B6805">
              <w:rPr>
                <w:rFonts w:eastAsia="Calibri"/>
                <w:sz w:val="22"/>
                <w:szCs w:val="22"/>
              </w:rPr>
              <w:t>Izvršenje 202</w:t>
            </w:r>
            <w:r w:rsidR="00FC5197">
              <w:rPr>
                <w:rFonts w:eastAsia="Calibri"/>
                <w:sz w:val="22"/>
                <w:szCs w:val="22"/>
              </w:rPr>
              <w:t>3</w:t>
            </w:r>
            <w:r w:rsidRPr="007B6805">
              <w:rPr>
                <w:rFonts w:eastAsia="Calibri"/>
                <w:sz w:val="22"/>
                <w:szCs w:val="22"/>
              </w:rPr>
              <w:t>.</w:t>
            </w:r>
          </w:p>
        </w:tc>
        <w:tc>
          <w:tcPr>
            <w:tcW w:w="1276" w:type="dxa"/>
            <w:shd w:val="clear" w:color="auto" w:fill="D0CECE"/>
            <w:vAlign w:val="center"/>
          </w:tcPr>
          <w:p w14:paraId="7A6A1CAC" w14:textId="5065D081" w:rsidR="0099378A" w:rsidRPr="007B6805" w:rsidRDefault="0099378A" w:rsidP="0099378A">
            <w:pPr>
              <w:rPr>
                <w:rFonts w:eastAsia="Calibri"/>
                <w:sz w:val="22"/>
                <w:szCs w:val="22"/>
              </w:rPr>
            </w:pPr>
            <w:r w:rsidRPr="007B6805">
              <w:rPr>
                <w:rFonts w:eastAsia="Calibri"/>
                <w:sz w:val="22"/>
                <w:szCs w:val="22"/>
              </w:rPr>
              <w:t>Plan 202</w:t>
            </w:r>
            <w:r w:rsidR="00FC5197">
              <w:rPr>
                <w:rFonts w:eastAsia="Calibri"/>
                <w:sz w:val="22"/>
                <w:szCs w:val="22"/>
              </w:rPr>
              <w:t>4</w:t>
            </w:r>
            <w:r w:rsidRPr="007B6805">
              <w:rPr>
                <w:rFonts w:eastAsia="Calibri"/>
                <w:sz w:val="22"/>
                <w:szCs w:val="22"/>
              </w:rPr>
              <w:t>.</w:t>
            </w:r>
          </w:p>
        </w:tc>
        <w:tc>
          <w:tcPr>
            <w:tcW w:w="1275" w:type="dxa"/>
            <w:shd w:val="clear" w:color="auto" w:fill="D0CECE"/>
            <w:vAlign w:val="center"/>
          </w:tcPr>
          <w:p w14:paraId="53DAD9CF" w14:textId="3968D754" w:rsidR="0099378A" w:rsidRPr="007B6805" w:rsidRDefault="0099378A" w:rsidP="0099378A">
            <w:pPr>
              <w:rPr>
                <w:rFonts w:eastAsia="Calibri"/>
                <w:sz w:val="22"/>
                <w:szCs w:val="22"/>
              </w:rPr>
            </w:pPr>
            <w:r w:rsidRPr="007B6805">
              <w:rPr>
                <w:rFonts w:eastAsia="Calibri"/>
                <w:sz w:val="22"/>
                <w:szCs w:val="22"/>
              </w:rPr>
              <w:t>Plan 202</w:t>
            </w:r>
            <w:r w:rsidR="00FC5197">
              <w:rPr>
                <w:rFonts w:eastAsia="Calibri"/>
                <w:sz w:val="22"/>
                <w:szCs w:val="22"/>
              </w:rPr>
              <w:t>5</w:t>
            </w:r>
            <w:r w:rsidRPr="007B6805">
              <w:rPr>
                <w:rFonts w:eastAsia="Calibri"/>
                <w:sz w:val="22"/>
                <w:szCs w:val="22"/>
              </w:rPr>
              <w:t>.</w:t>
            </w:r>
          </w:p>
        </w:tc>
        <w:tc>
          <w:tcPr>
            <w:tcW w:w="1276" w:type="dxa"/>
            <w:shd w:val="clear" w:color="auto" w:fill="D0CECE"/>
            <w:vAlign w:val="center"/>
          </w:tcPr>
          <w:p w14:paraId="0DE2C6A0" w14:textId="1ACACD57" w:rsidR="0099378A" w:rsidRPr="007B6805" w:rsidRDefault="0099378A" w:rsidP="0099378A">
            <w:pPr>
              <w:jc w:val="center"/>
              <w:rPr>
                <w:rFonts w:eastAsia="Calibri"/>
                <w:sz w:val="22"/>
                <w:szCs w:val="22"/>
              </w:rPr>
            </w:pPr>
            <w:r w:rsidRPr="007B6805">
              <w:rPr>
                <w:rFonts w:eastAsia="Calibri"/>
                <w:sz w:val="22"/>
                <w:szCs w:val="22"/>
              </w:rPr>
              <w:t>P</w:t>
            </w:r>
            <w:r>
              <w:rPr>
                <w:rFonts w:eastAsia="Calibri"/>
                <w:sz w:val="22"/>
                <w:szCs w:val="22"/>
              </w:rPr>
              <w:t>lan 202</w:t>
            </w:r>
            <w:r w:rsidR="00FC5197">
              <w:rPr>
                <w:rFonts w:eastAsia="Calibri"/>
                <w:sz w:val="22"/>
                <w:szCs w:val="22"/>
              </w:rPr>
              <w:t>6</w:t>
            </w:r>
            <w:r w:rsidRPr="007B6805">
              <w:rPr>
                <w:rFonts w:eastAsia="Calibri"/>
                <w:sz w:val="22"/>
                <w:szCs w:val="22"/>
              </w:rPr>
              <w:t>.</w:t>
            </w:r>
          </w:p>
        </w:tc>
        <w:tc>
          <w:tcPr>
            <w:tcW w:w="1276" w:type="dxa"/>
            <w:shd w:val="clear" w:color="auto" w:fill="D0CECE"/>
            <w:vAlign w:val="center"/>
          </w:tcPr>
          <w:p w14:paraId="4FEA953B" w14:textId="7C87043A" w:rsidR="0099378A" w:rsidRPr="007B6805" w:rsidRDefault="0099378A" w:rsidP="0099378A">
            <w:pPr>
              <w:jc w:val="center"/>
              <w:rPr>
                <w:rFonts w:eastAsia="Calibri"/>
                <w:sz w:val="22"/>
                <w:szCs w:val="22"/>
              </w:rPr>
            </w:pPr>
            <w:r w:rsidRPr="007B6805">
              <w:rPr>
                <w:rFonts w:eastAsia="Calibri"/>
                <w:sz w:val="22"/>
                <w:szCs w:val="22"/>
              </w:rPr>
              <w:t>Plan 202</w:t>
            </w:r>
            <w:r w:rsidR="00FC5197">
              <w:rPr>
                <w:rFonts w:eastAsia="Calibri"/>
                <w:sz w:val="22"/>
                <w:szCs w:val="22"/>
              </w:rPr>
              <w:t>7</w:t>
            </w:r>
            <w:r w:rsidRPr="007B6805">
              <w:rPr>
                <w:rFonts w:eastAsia="Calibri"/>
                <w:sz w:val="22"/>
                <w:szCs w:val="22"/>
              </w:rPr>
              <w:t>.</w:t>
            </w:r>
          </w:p>
        </w:tc>
        <w:tc>
          <w:tcPr>
            <w:tcW w:w="850" w:type="dxa"/>
            <w:shd w:val="clear" w:color="auto" w:fill="D0CECE"/>
            <w:vAlign w:val="center"/>
          </w:tcPr>
          <w:p w14:paraId="756BDF9B" w14:textId="36E80C10" w:rsidR="0099378A" w:rsidRPr="007B6805" w:rsidRDefault="0099378A" w:rsidP="0099378A">
            <w:pPr>
              <w:jc w:val="center"/>
              <w:rPr>
                <w:rFonts w:eastAsia="Calibri"/>
                <w:sz w:val="22"/>
                <w:szCs w:val="22"/>
              </w:rPr>
            </w:pPr>
            <w:r w:rsidRPr="007B6805">
              <w:rPr>
                <w:rFonts w:eastAsia="Calibri"/>
                <w:sz w:val="22"/>
                <w:szCs w:val="22"/>
              </w:rPr>
              <w:t>I</w:t>
            </w:r>
            <w:r>
              <w:rPr>
                <w:rFonts w:eastAsia="Calibri"/>
                <w:sz w:val="22"/>
                <w:szCs w:val="22"/>
              </w:rPr>
              <w:t>ndeks 2</w:t>
            </w:r>
            <w:r w:rsidR="00153F83">
              <w:rPr>
                <w:rFonts w:eastAsia="Calibri"/>
                <w:sz w:val="22"/>
                <w:szCs w:val="22"/>
              </w:rPr>
              <w:t>4</w:t>
            </w:r>
            <w:r w:rsidRPr="007B6805">
              <w:rPr>
                <w:rFonts w:eastAsia="Calibri"/>
                <w:sz w:val="22"/>
                <w:szCs w:val="22"/>
              </w:rPr>
              <w:t>./2</w:t>
            </w:r>
            <w:r w:rsidR="00153F83">
              <w:rPr>
                <w:rFonts w:eastAsia="Calibri"/>
                <w:sz w:val="22"/>
                <w:szCs w:val="22"/>
              </w:rPr>
              <w:t>3</w:t>
            </w:r>
            <w:r w:rsidRPr="007B6805">
              <w:rPr>
                <w:rFonts w:eastAsia="Calibri"/>
                <w:sz w:val="22"/>
                <w:szCs w:val="22"/>
              </w:rPr>
              <w:t>.</w:t>
            </w:r>
          </w:p>
        </w:tc>
      </w:tr>
      <w:tr w:rsidR="0099378A" w:rsidRPr="001058BA" w14:paraId="4AF3BD7A" w14:textId="77777777" w:rsidTr="001A7085">
        <w:tc>
          <w:tcPr>
            <w:tcW w:w="2518" w:type="dxa"/>
            <w:shd w:val="clear" w:color="auto" w:fill="auto"/>
          </w:tcPr>
          <w:p w14:paraId="0EE9F460" w14:textId="77777777" w:rsidR="0099378A" w:rsidRPr="001058BA" w:rsidRDefault="0099378A" w:rsidP="0099378A">
            <w:pPr>
              <w:ind w:left="720"/>
              <w:rPr>
                <w:rFonts w:eastAsia="Calibri"/>
              </w:rPr>
            </w:pPr>
          </w:p>
        </w:tc>
        <w:tc>
          <w:tcPr>
            <w:tcW w:w="1276" w:type="dxa"/>
            <w:shd w:val="clear" w:color="auto" w:fill="auto"/>
          </w:tcPr>
          <w:p w14:paraId="4050CB0F" w14:textId="77777777" w:rsidR="0099378A" w:rsidRPr="001058BA" w:rsidRDefault="0099378A" w:rsidP="0099378A">
            <w:pPr>
              <w:jc w:val="both"/>
              <w:rPr>
                <w:rFonts w:eastAsia="Calibri"/>
              </w:rPr>
            </w:pPr>
          </w:p>
        </w:tc>
        <w:tc>
          <w:tcPr>
            <w:tcW w:w="1276" w:type="dxa"/>
            <w:shd w:val="clear" w:color="auto" w:fill="auto"/>
          </w:tcPr>
          <w:p w14:paraId="768AE386" w14:textId="77777777" w:rsidR="0099378A" w:rsidRPr="001058BA" w:rsidRDefault="0099378A" w:rsidP="0099378A">
            <w:pPr>
              <w:jc w:val="both"/>
              <w:rPr>
                <w:rFonts w:eastAsia="Calibri"/>
              </w:rPr>
            </w:pPr>
          </w:p>
        </w:tc>
        <w:tc>
          <w:tcPr>
            <w:tcW w:w="1275" w:type="dxa"/>
            <w:shd w:val="clear" w:color="auto" w:fill="auto"/>
          </w:tcPr>
          <w:p w14:paraId="49478D28" w14:textId="77777777" w:rsidR="0099378A" w:rsidRPr="001058BA" w:rsidRDefault="0099378A" w:rsidP="0099378A">
            <w:pPr>
              <w:jc w:val="both"/>
              <w:rPr>
                <w:rFonts w:eastAsia="Calibri"/>
              </w:rPr>
            </w:pPr>
          </w:p>
        </w:tc>
        <w:tc>
          <w:tcPr>
            <w:tcW w:w="1276" w:type="dxa"/>
            <w:shd w:val="clear" w:color="auto" w:fill="auto"/>
          </w:tcPr>
          <w:p w14:paraId="58FF0C93" w14:textId="77777777" w:rsidR="0099378A" w:rsidRPr="001058BA" w:rsidRDefault="0099378A" w:rsidP="0099378A">
            <w:pPr>
              <w:jc w:val="both"/>
              <w:rPr>
                <w:rFonts w:eastAsia="Calibri"/>
              </w:rPr>
            </w:pPr>
          </w:p>
        </w:tc>
        <w:tc>
          <w:tcPr>
            <w:tcW w:w="1276" w:type="dxa"/>
            <w:shd w:val="clear" w:color="auto" w:fill="auto"/>
          </w:tcPr>
          <w:p w14:paraId="4B924376" w14:textId="77777777" w:rsidR="0099378A" w:rsidRPr="001058BA" w:rsidRDefault="0099378A" w:rsidP="0099378A">
            <w:pPr>
              <w:jc w:val="both"/>
              <w:rPr>
                <w:rFonts w:eastAsia="Calibri"/>
              </w:rPr>
            </w:pPr>
          </w:p>
        </w:tc>
        <w:tc>
          <w:tcPr>
            <w:tcW w:w="850" w:type="dxa"/>
            <w:shd w:val="clear" w:color="auto" w:fill="auto"/>
          </w:tcPr>
          <w:p w14:paraId="4532DA76" w14:textId="77777777" w:rsidR="0099378A" w:rsidRPr="001058BA" w:rsidRDefault="0099378A" w:rsidP="0099378A">
            <w:pPr>
              <w:jc w:val="both"/>
              <w:rPr>
                <w:rFonts w:eastAsia="Calibri"/>
              </w:rPr>
            </w:pPr>
          </w:p>
        </w:tc>
      </w:tr>
      <w:tr w:rsidR="00153F83" w:rsidRPr="001058BA" w14:paraId="4F81111E" w14:textId="77777777" w:rsidTr="001A7085">
        <w:tc>
          <w:tcPr>
            <w:tcW w:w="2518" w:type="dxa"/>
            <w:shd w:val="clear" w:color="auto" w:fill="auto"/>
          </w:tcPr>
          <w:p w14:paraId="03B8DEA5" w14:textId="77777777" w:rsidR="00153F83" w:rsidRPr="0099378A" w:rsidRDefault="00153F83" w:rsidP="00153F83">
            <w:pPr>
              <w:numPr>
                <w:ilvl w:val="0"/>
                <w:numId w:val="3"/>
              </w:numPr>
              <w:rPr>
                <w:rFonts w:eastAsia="Calibri"/>
                <w:sz w:val="22"/>
                <w:szCs w:val="22"/>
              </w:rPr>
            </w:pPr>
            <w:r w:rsidRPr="0099378A">
              <w:rPr>
                <w:rFonts w:eastAsia="Calibri"/>
                <w:sz w:val="22"/>
                <w:szCs w:val="22"/>
              </w:rPr>
              <w:t>PRIHODI OD UPISNINA,</w:t>
            </w:r>
            <w:r>
              <w:rPr>
                <w:rFonts w:eastAsia="Calibri"/>
                <w:sz w:val="22"/>
                <w:szCs w:val="22"/>
              </w:rPr>
              <w:t xml:space="preserve"> </w:t>
            </w:r>
            <w:r w:rsidRPr="0099378A">
              <w:rPr>
                <w:rFonts w:eastAsia="Calibri"/>
                <w:sz w:val="22"/>
                <w:szCs w:val="22"/>
              </w:rPr>
              <w:t>INDEKSA I DIPLOMA</w:t>
            </w:r>
          </w:p>
        </w:tc>
        <w:tc>
          <w:tcPr>
            <w:tcW w:w="1276" w:type="dxa"/>
            <w:shd w:val="clear" w:color="auto" w:fill="auto"/>
          </w:tcPr>
          <w:p w14:paraId="6404018F" w14:textId="77777777" w:rsidR="00153F83" w:rsidRDefault="00153F83" w:rsidP="00153F83">
            <w:pPr>
              <w:jc w:val="both"/>
              <w:rPr>
                <w:rFonts w:eastAsia="Calibri"/>
              </w:rPr>
            </w:pPr>
          </w:p>
          <w:p w14:paraId="1003E0A4" w14:textId="34B0303E" w:rsidR="00A924FD" w:rsidRPr="001058BA" w:rsidRDefault="00A924FD" w:rsidP="00153F83">
            <w:pPr>
              <w:jc w:val="both"/>
              <w:rPr>
                <w:rFonts w:eastAsia="Calibri"/>
              </w:rPr>
            </w:pPr>
            <w:r>
              <w:rPr>
                <w:rFonts w:eastAsia="Calibri"/>
              </w:rPr>
              <w:t>34.250</w:t>
            </w:r>
          </w:p>
        </w:tc>
        <w:tc>
          <w:tcPr>
            <w:tcW w:w="1276" w:type="dxa"/>
            <w:shd w:val="clear" w:color="auto" w:fill="auto"/>
          </w:tcPr>
          <w:p w14:paraId="6FB77AEE" w14:textId="77777777" w:rsidR="00153F83" w:rsidRDefault="00153F83" w:rsidP="00153F83">
            <w:pPr>
              <w:jc w:val="both"/>
              <w:rPr>
                <w:rFonts w:eastAsia="Calibri"/>
              </w:rPr>
            </w:pPr>
          </w:p>
          <w:p w14:paraId="10EA661D" w14:textId="6CF3F146" w:rsidR="00153F83" w:rsidRPr="001058BA" w:rsidRDefault="00153F83" w:rsidP="00153F83">
            <w:pPr>
              <w:jc w:val="both"/>
              <w:rPr>
                <w:rFonts w:eastAsia="Calibri"/>
              </w:rPr>
            </w:pPr>
            <w:r>
              <w:rPr>
                <w:rFonts w:eastAsia="Calibri"/>
              </w:rPr>
              <w:t>50.000</w:t>
            </w:r>
          </w:p>
        </w:tc>
        <w:tc>
          <w:tcPr>
            <w:tcW w:w="1275" w:type="dxa"/>
            <w:shd w:val="clear" w:color="auto" w:fill="auto"/>
          </w:tcPr>
          <w:p w14:paraId="484DB73C" w14:textId="77777777" w:rsidR="00153F83" w:rsidRDefault="00153F83" w:rsidP="00153F83">
            <w:pPr>
              <w:jc w:val="both"/>
              <w:rPr>
                <w:rFonts w:eastAsia="Calibri"/>
              </w:rPr>
            </w:pPr>
          </w:p>
          <w:p w14:paraId="67533747" w14:textId="3518E962" w:rsidR="00A924FD" w:rsidRPr="001058BA" w:rsidRDefault="00A924FD" w:rsidP="00153F83">
            <w:pPr>
              <w:jc w:val="both"/>
              <w:rPr>
                <w:rFonts w:eastAsia="Calibri"/>
              </w:rPr>
            </w:pPr>
            <w:r>
              <w:rPr>
                <w:rFonts w:eastAsia="Calibri"/>
              </w:rPr>
              <w:t>50.000</w:t>
            </w:r>
          </w:p>
        </w:tc>
        <w:tc>
          <w:tcPr>
            <w:tcW w:w="1276" w:type="dxa"/>
            <w:shd w:val="clear" w:color="auto" w:fill="auto"/>
          </w:tcPr>
          <w:p w14:paraId="752E008C" w14:textId="77777777" w:rsidR="00153F83" w:rsidRDefault="00153F83" w:rsidP="00153F83">
            <w:pPr>
              <w:jc w:val="both"/>
              <w:rPr>
                <w:rFonts w:eastAsia="Calibri"/>
              </w:rPr>
            </w:pPr>
          </w:p>
          <w:p w14:paraId="79A79C78" w14:textId="482BFE3A" w:rsidR="00A924FD" w:rsidRDefault="00A924FD" w:rsidP="00153F83">
            <w:pPr>
              <w:jc w:val="both"/>
              <w:rPr>
                <w:rFonts w:eastAsia="Calibri"/>
              </w:rPr>
            </w:pPr>
            <w:r>
              <w:rPr>
                <w:rFonts w:eastAsia="Calibri"/>
              </w:rPr>
              <w:t>5</w:t>
            </w:r>
            <w:r w:rsidR="000E28D9">
              <w:rPr>
                <w:rFonts w:eastAsia="Calibri"/>
              </w:rPr>
              <w:t>5</w:t>
            </w:r>
            <w:r>
              <w:rPr>
                <w:rFonts w:eastAsia="Calibri"/>
              </w:rPr>
              <w:t>.000</w:t>
            </w:r>
          </w:p>
          <w:p w14:paraId="0A93D4DA" w14:textId="00D800E9" w:rsidR="00A924FD" w:rsidRPr="001058BA" w:rsidRDefault="00A924FD" w:rsidP="00153F83">
            <w:pPr>
              <w:jc w:val="both"/>
              <w:rPr>
                <w:rFonts w:eastAsia="Calibri"/>
              </w:rPr>
            </w:pPr>
          </w:p>
        </w:tc>
        <w:tc>
          <w:tcPr>
            <w:tcW w:w="1276" w:type="dxa"/>
            <w:shd w:val="clear" w:color="auto" w:fill="auto"/>
          </w:tcPr>
          <w:p w14:paraId="0A263629" w14:textId="77777777" w:rsidR="00153F83" w:rsidRDefault="00153F83" w:rsidP="00153F83">
            <w:pPr>
              <w:jc w:val="both"/>
              <w:rPr>
                <w:rFonts w:eastAsia="Calibri"/>
              </w:rPr>
            </w:pPr>
          </w:p>
          <w:p w14:paraId="542B3228" w14:textId="18441773" w:rsidR="00A924FD" w:rsidRPr="001058BA" w:rsidRDefault="00A924FD" w:rsidP="00153F83">
            <w:pPr>
              <w:jc w:val="both"/>
              <w:rPr>
                <w:rFonts w:eastAsia="Calibri"/>
              </w:rPr>
            </w:pPr>
            <w:r>
              <w:rPr>
                <w:rFonts w:eastAsia="Calibri"/>
              </w:rPr>
              <w:t>50.000</w:t>
            </w:r>
          </w:p>
        </w:tc>
        <w:tc>
          <w:tcPr>
            <w:tcW w:w="850" w:type="dxa"/>
            <w:shd w:val="clear" w:color="auto" w:fill="auto"/>
          </w:tcPr>
          <w:p w14:paraId="183001EC" w14:textId="77777777" w:rsidR="00153F83" w:rsidRDefault="00153F83" w:rsidP="00153F83">
            <w:pPr>
              <w:jc w:val="both"/>
              <w:rPr>
                <w:rFonts w:eastAsia="Calibri"/>
              </w:rPr>
            </w:pPr>
          </w:p>
          <w:p w14:paraId="04C688F7" w14:textId="6511CC8E" w:rsidR="00153F83" w:rsidRPr="001058BA" w:rsidRDefault="00153F83" w:rsidP="00153F83">
            <w:pPr>
              <w:jc w:val="both"/>
              <w:rPr>
                <w:rFonts w:eastAsia="Calibri"/>
              </w:rPr>
            </w:pPr>
            <w:r>
              <w:rPr>
                <w:rFonts w:eastAsia="Calibri"/>
              </w:rPr>
              <w:t>1,0</w:t>
            </w:r>
            <w:r w:rsidR="00A924FD">
              <w:rPr>
                <w:rFonts w:eastAsia="Calibri"/>
              </w:rPr>
              <w:t>0</w:t>
            </w:r>
          </w:p>
        </w:tc>
      </w:tr>
      <w:tr w:rsidR="00153F83" w:rsidRPr="001058BA" w14:paraId="40C85AC4" w14:textId="77777777" w:rsidTr="001A7085">
        <w:tc>
          <w:tcPr>
            <w:tcW w:w="2518" w:type="dxa"/>
            <w:shd w:val="clear" w:color="auto" w:fill="auto"/>
          </w:tcPr>
          <w:p w14:paraId="257A9E3E" w14:textId="77777777" w:rsidR="00153F83" w:rsidRPr="0099378A" w:rsidRDefault="00153F83" w:rsidP="00153F83">
            <w:pPr>
              <w:numPr>
                <w:ilvl w:val="0"/>
                <w:numId w:val="3"/>
              </w:numPr>
              <w:rPr>
                <w:rFonts w:eastAsia="Calibri"/>
                <w:sz w:val="22"/>
                <w:szCs w:val="22"/>
              </w:rPr>
            </w:pPr>
            <w:r w:rsidRPr="0099378A">
              <w:rPr>
                <w:rFonts w:eastAsia="Calibri"/>
                <w:sz w:val="22"/>
                <w:szCs w:val="22"/>
              </w:rPr>
              <w:t>PRIHODI OD ŠKOLARINA</w:t>
            </w:r>
          </w:p>
        </w:tc>
        <w:tc>
          <w:tcPr>
            <w:tcW w:w="1276" w:type="dxa"/>
            <w:shd w:val="clear" w:color="auto" w:fill="auto"/>
          </w:tcPr>
          <w:p w14:paraId="6C156B0A" w14:textId="2448D2BC" w:rsidR="00153F83" w:rsidRPr="001058BA" w:rsidRDefault="000E28D9" w:rsidP="00153F83">
            <w:pPr>
              <w:jc w:val="both"/>
              <w:rPr>
                <w:rFonts w:eastAsia="Calibri"/>
              </w:rPr>
            </w:pPr>
            <w:r>
              <w:rPr>
                <w:rFonts w:eastAsia="Calibri"/>
              </w:rPr>
              <w:t>356.475</w:t>
            </w:r>
          </w:p>
        </w:tc>
        <w:tc>
          <w:tcPr>
            <w:tcW w:w="1276" w:type="dxa"/>
            <w:shd w:val="clear" w:color="auto" w:fill="auto"/>
          </w:tcPr>
          <w:p w14:paraId="0CB85985" w14:textId="5DF970EA" w:rsidR="00153F83" w:rsidRPr="001058BA" w:rsidRDefault="00153F83" w:rsidP="00153F83">
            <w:pPr>
              <w:jc w:val="both"/>
              <w:rPr>
                <w:rFonts w:eastAsia="Calibri"/>
              </w:rPr>
            </w:pPr>
            <w:r>
              <w:rPr>
                <w:rFonts w:eastAsia="Calibri"/>
              </w:rPr>
              <w:t>423.914</w:t>
            </w:r>
          </w:p>
        </w:tc>
        <w:tc>
          <w:tcPr>
            <w:tcW w:w="1275" w:type="dxa"/>
            <w:shd w:val="clear" w:color="auto" w:fill="auto"/>
          </w:tcPr>
          <w:p w14:paraId="174EF299" w14:textId="0803BBB4" w:rsidR="00153F83" w:rsidRPr="001058BA" w:rsidRDefault="000E28D9" w:rsidP="00153F83">
            <w:pPr>
              <w:jc w:val="both"/>
              <w:rPr>
                <w:rFonts w:eastAsia="Calibri"/>
              </w:rPr>
            </w:pPr>
            <w:r>
              <w:rPr>
                <w:rFonts w:eastAsia="Calibri"/>
              </w:rPr>
              <w:t>475.500</w:t>
            </w:r>
          </w:p>
        </w:tc>
        <w:tc>
          <w:tcPr>
            <w:tcW w:w="1276" w:type="dxa"/>
            <w:shd w:val="clear" w:color="auto" w:fill="auto"/>
          </w:tcPr>
          <w:p w14:paraId="4ABDA2A9" w14:textId="6C7C34CE" w:rsidR="00153F83" w:rsidRPr="001058BA" w:rsidRDefault="000E28D9" w:rsidP="00153F83">
            <w:pPr>
              <w:jc w:val="both"/>
              <w:rPr>
                <w:rFonts w:eastAsia="Calibri"/>
              </w:rPr>
            </w:pPr>
            <w:r>
              <w:rPr>
                <w:rFonts w:eastAsia="Calibri"/>
              </w:rPr>
              <w:t>490.000</w:t>
            </w:r>
          </w:p>
        </w:tc>
        <w:tc>
          <w:tcPr>
            <w:tcW w:w="1276" w:type="dxa"/>
            <w:shd w:val="clear" w:color="auto" w:fill="auto"/>
          </w:tcPr>
          <w:p w14:paraId="68160762" w14:textId="26C50BC6" w:rsidR="00153F83" w:rsidRPr="001058BA" w:rsidRDefault="000E28D9" w:rsidP="00153F83">
            <w:pPr>
              <w:jc w:val="both"/>
              <w:rPr>
                <w:rFonts w:eastAsia="Calibri"/>
              </w:rPr>
            </w:pPr>
            <w:r>
              <w:rPr>
                <w:rFonts w:eastAsia="Calibri"/>
              </w:rPr>
              <w:t>500.000</w:t>
            </w:r>
          </w:p>
        </w:tc>
        <w:tc>
          <w:tcPr>
            <w:tcW w:w="850" w:type="dxa"/>
            <w:shd w:val="clear" w:color="auto" w:fill="auto"/>
          </w:tcPr>
          <w:p w14:paraId="30261A36" w14:textId="45815D8E" w:rsidR="00153F83" w:rsidRPr="001058BA" w:rsidRDefault="00C41438" w:rsidP="00153F83">
            <w:pPr>
              <w:jc w:val="both"/>
              <w:rPr>
                <w:rFonts w:eastAsia="Calibri"/>
              </w:rPr>
            </w:pPr>
            <w:r>
              <w:rPr>
                <w:rFonts w:eastAsia="Calibri"/>
              </w:rPr>
              <w:t>1,12</w:t>
            </w:r>
          </w:p>
        </w:tc>
      </w:tr>
      <w:tr w:rsidR="00153F83" w:rsidRPr="001058BA" w14:paraId="23CD7982" w14:textId="77777777" w:rsidTr="001A7085">
        <w:tc>
          <w:tcPr>
            <w:tcW w:w="2518" w:type="dxa"/>
            <w:shd w:val="clear" w:color="auto" w:fill="auto"/>
          </w:tcPr>
          <w:p w14:paraId="614EE02D" w14:textId="77777777" w:rsidR="00153F83" w:rsidRPr="0099378A" w:rsidRDefault="00153F83" w:rsidP="00153F83">
            <w:pPr>
              <w:numPr>
                <w:ilvl w:val="0"/>
                <w:numId w:val="3"/>
              </w:numPr>
              <w:rPr>
                <w:rFonts w:eastAsia="Calibri"/>
                <w:sz w:val="22"/>
                <w:szCs w:val="22"/>
              </w:rPr>
            </w:pPr>
            <w:r w:rsidRPr="0099378A">
              <w:rPr>
                <w:rFonts w:eastAsia="Calibri"/>
                <w:sz w:val="22"/>
                <w:szCs w:val="22"/>
              </w:rPr>
              <w:t xml:space="preserve">OSTALI PRIHODI ZA </w:t>
            </w:r>
            <w:r w:rsidRPr="0099378A">
              <w:rPr>
                <w:rFonts w:eastAsia="Calibri"/>
                <w:sz w:val="22"/>
                <w:szCs w:val="22"/>
              </w:rPr>
              <w:lastRenderedPageBreak/>
              <w:t>POSEBNE NAMJENE</w:t>
            </w:r>
          </w:p>
        </w:tc>
        <w:tc>
          <w:tcPr>
            <w:tcW w:w="1276" w:type="dxa"/>
            <w:shd w:val="clear" w:color="auto" w:fill="auto"/>
          </w:tcPr>
          <w:p w14:paraId="475B5564" w14:textId="77777777" w:rsidR="00153F83" w:rsidRDefault="00153F83" w:rsidP="00153F83">
            <w:pPr>
              <w:jc w:val="both"/>
              <w:rPr>
                <w:rFonts w:eastAsia="Calibri"/>
              </w:rPr>
            </w:pPr>
          </w:p>
          <w:p w14:paraId="1EA53D5E" w14:textId="15E7C5B5" w:rsidR="000E28D9" w:rsidRPr="001058BA" w:rsidRDefault="000E28D9" w:rsidP="00153F83">
            <w:pPr>
              <w:jc w:val="both"/>
              <w:rPr>
                <w:rFonts w:eastAsia="Calibri"/>
              </w:rPr>
            </w:pPr>
            <w:r>
              <w:rPr>
                <w:rFonts w:eastAsia="Calibri"/>
              </w:rPr>
              <w:t>0</w:t>
            </w:r>
          </w:p>
        </w:tc>
        <w:tc>
          <w:tcPr>
            <w:tcW w:w="1276" w:type="dxa"/>
            <w:shd w:val="clear" w:color="auto" w:fill="auto"/>
          </w:tcPr>
          <w:p w14:paraId="1A80D57F" w14:textId="77777777" w:rsidR="00153F83" w:rsidRDefault="00153F83" w:rsidP="00153F83">
            <w:pPr>
              <w:jc w:val="both"/>
              <w:rPr>
                <w:rFonts w:eastAsia="Calibri"/>
              </w:rPr>
            </w:pPr>
          </w:p>
          <w:p w14:paraId="0019A32E" w14:textId="5B8B242E" w:rsidR="00153F83" w:rsidRPr="001058BA" w:rsidRDefault="00153F83" w:rsidP="00153F83">
            <w:pPr>
              <w:jc w:val="both"/>
              <w:rPr>
                <w:rFonts w:eastAsia="Calibri"/>
              </w:rPr>
            </w:pPr>
            <w:r>
              <w:rPr>
                <w:rFonts w:eastAsia="Calibri"/>
              </w:rPr>
              <w:t>0</w:t>
            </w:r>
          </w:p>
        </w:tc>
        <w:tc>
          <w:tcPr>
            <w:tcW w:w="1275" w:type="dxa"/>
            <w:shd w:val="clear" w:color="auto" w:fill="auto"/>
          </w:tcPr>
          <w:p w14:paraId="7295BCC0" w14:textId="77777777" w:rsidR="00153F83" w:rsidRDefault="00153F83" w:rsidP="00153F83">
            <w:pPr>
              <w:jc w:val="both"/>
              <w:rPr>
                <w:rFonts w:eastAsia="Calibri"/>
              </w:rPr>
            </w:pPr>
          </w:p>
          <w:p w14:paraId="757715EC" w14:textId="77777777" w:rsidR="00153F83" w:rsidRPr="001058BA" w:rsidRDefault="00153F83" w:rsidP="00153F83">
            <w:pPr>
              <w:jc w:val="both"/>
              <w:rPr>
                <w:rFonts w:eastAsia="Calibri"/>
              </w:rPr>
            </w:pPr>
            <w:r>
              <w:rPr>
                <w:rFonts w:eastAsia="Calibri"/>
              </w:rPr>
              <w:t>0</w:t>
            </w:r>
          </w:p>
        </w:tc>
        <w:tc>
          <w:tcPr>
            <w:tcW w:w="1276" w:type="dxa"/>
            <w:shd w:val="clear" w:color="auto" w:fill="auto"/>
          </w:tcPr>
          <w:p w14:paraId="7490F63E" w14:textId="77777777" w:rsidR="00153F83" w:rsidRDefault="00153F83" w:rsidP="00153F83">
            <w:pPr>
              <w:jc w:val="both"/>
              <w:rPr>
                <w:rFonts w:eastAsia="Calibri"/>
              </w:rPr>
            </w:pPr>
          </w:p>
          <w:p w14:paraId="78439DEF" w14:textId="77777777" w:rsidR="00153F83" w:rsidRPr="001058BA" w:rsidRDefault="00153F83" w:rsidP="00153F83">
            <w:pPr>
              <w:jc w:val="both"/>
              <w:rPr>
                <w:rFonts w:eastAsia="Calibri"/>
              </w:rPr>
            </w:pPr>
            <w:r>
              <w:rPr>
                <w:rFonts w:eastAsia="Calibri"/>
              </w:rPr>
              <w:t>0</w:t>
            </w:r>
          </w:p>
        </w:tc>
        <w:tc>
          <w:tcPr>
            <w:tcW w:w="1276" w:type="dxa"/>
            <w:shd w:val="clear" w:color="auto" w:fill="auto"/>
          </w:tcPr>
          <w:p w14:paraId="550ECBF0" w14:textId="77777777" w:rsidR="00153F83" w:rsidRDefault="00153F83" w:rsidP="00153F83">
            <w:pPr>
              <w:jc w:val="both"/>
              <w:rPr>
                <w:rFonts w:eastAsia="Calibri"/>
              </w:rPr>
            </w:pPr>
          </w:p>
          <w:p w14:paraId="33B2A89B" w14:textId="77777777" w:rsidR="00153F83" w:rsidRPr="001058BA" w:rsidRDefault="00153F83" w:rsidP="00153F83">
            <w:pPr>
              <w:jc w:val="both"/>
              <w:rPr>
                <w:rFonts w:eastAsia="Calibri"/>
              </w:rPr>
            </w:pPr>
            <w:r>
              <w:rPr>
                <w:rFonts w:eastAsia="Calibri"/>
              </w:rPr>
              <w:t>0</w:t>
            </w:r>
          </w:p>
        </w:tc>
        <w:tc>
          <w:tcPr>
            <w:tcW w:w="850" w:type="dxa"/>
            <w:shd w:val="clear" w:color="auto" w:fill="auto"/>
          </w:tcPr>
          <w:p w14:paraId="67FB03CB" w14:textId="77777777" w:rsidR="00153F83" w:rsidRPr="001058BA" w:rsidRDefault="00153F83" w:rsidP="00153F83">
            <w:pPr>
              <w:jc w:val="both"/>
              <w:rPr>
                <w:rFonts w:eastAsia="Calibri"/>
              </w:rPr>
            </w:pPr>
          </w:p>
        </w:tc>
      </w:tr>
      <w:tr w:rsidR="00153F83" w:rsidRPr="001058BA" w14:paraId="7CCD2F81" w14:textId="77777777" w:rsidTr="001A7085">
        <w:tc>
          <w:tcPr>
            <w:tcW w:w="2518" w:type="dxa"/>
            <w:shd w:val="clear" w:color="auto" w:fill="auto"/>
          </w:tcPr>
          <w:p w14:paraId="1CBB463F" w14:textId="77777777" w:rsidR="00153F83" w:rsidRPr="0099378A" w:rsidRDefault="00153F83" w:rsidP="00153F83">
            <w:pPr>
              <w:numPr>
                <w:ilvl w:val="0"/>
                <w:numId w:val="3"/>
              </w:numPr>
              <w:rPr>
                <w:rFonts w:eastAsia="Calibri"/>
                <w:sz w:val="22"/>
                <w:szCs w:val="22"/>
              </w:rPr>
            </w:pPr>
            <w:r w:rsidRPr="0099378A">
              <w:rPr>
                <w:rFonts w:eastAsia="Calibri"/>
                <w:sz w:val="22"/>
                <w:szCs w:val="22"/>
              </w:rPr>
              <w:t>PRIHODI IZ POSLOVNOG FONDA SVEUČILIŠTA</w:t>
            </w:r>
          </w:p>
        </w:tc>
        <w:tc>
          <w:tcPr>
            <w:tcW w:w="1276" w:type="dxa"/>
            <w:shd w:val="clear" w:color="auto" w:fill="auto"/>
          </w:tcPr>
          <w:p w14:paraId="7B486096" w14:textId="77777777" w:rsidR="00153F83" w:rsidRDefault="00153F83" w:rsidP="00153F83">
            <w:pPr>
              <w:jc w:val="both"/>
              <w:rPr>
                <w:rFonts w:eastAsia="Calibri"/>
              </w:rPr>
            </w:pPr>
          </w:p>
          <w:p w14:paraId="4A3828CC" w14:textId="22AE5095" w:rsidR="000E28D9" w:rsidRPr="001058BA" w:rsidRDefault="000E28D9" w:rsidP="00153F83">
            <w:pPr>
              <w:jc w:val="both"/>
              <w:rPr>
                <w:rFonts w:eastAsia="Calibri"/>
              </w:rPr>
            </w:pPr>
            <w:r>
              <w:rPr>
                <w:rFonts w:eastAsia="Calibri"/>
              </w:rPr>
              <w:t>0</w:t>
            </w:r>
          </w:p>
        </w:tc>
        <w:tc>
          <w:tcPr>
            <w:tcW w:w="1276" w:type="dxa"/>
            <w:shd w:val="clear" w:color="auto" w:fill="auto"/>
          </w:tcPr>
          <w:p w14:paraId="45C89C9A" w14:textId="77777777" w:rsidR="00153F83" w:rsidRDefault="00153F83" w:rsidP="00153F83">
            <w:pPr>
              <w:jc w:val="both"/>
              <w:rPr>
                <w:rFonts w:eastAsia="Calibri"/>
              </w:rPr>
            </w:pPr>
          </w:p>
          <w:p w14:paraId="009DB5C3" w14:textId="3C2C91FE" w:rsidR="00153F83" w:rsidRPr="001058BA" w:rsidRDefault="00153F83" w:rsidP="00153F83">
            <w:pPr>
              <w:jc w:val="both"/>
              <w:rPr>
                <w:rFonts w:eastAsia="Calibri"/>
              </w:rPr>
            </w:pPr>
            <w:r>
              <w:rPr>
                <w:rFonts w:eastAsia="Calibri"/>
              </w:rPr>
              <w:t>0</w:t>
            </w:r>
          </w:p>
        </w:tc>
        <w:tc>
          <w:tcPr>
            <w:tcW w:w="1275" w:type="dxa"/>
            <w:shd w:val="clear" w:color="auto" w:fill="auto"/>
          </w:tcPr>
          <w:p w14:paraId="52C68649" w14:textId="77777777" w:rsidR="00A924FD" w:rsidRDefault="00A924FD" w:rsidP="00153F83">
            <w:pPr>
              <w:jc w:val="both"/>
              <w:rPr>
                <w:rFonts w:eastAsia="Calibri"/>
              </w:rPr>
            </w:pPr>
          </w:p>
          <w:p w14:paraId="213C62E8" w14:textId="24AB180E" w:rsidR="00153F83" w:rsidRDefault="00A924FD" w:rsidP="00153F83">
            <w:pPr>
              <w:jc w:val="both"/>
              <w:rPr>
                <w:rFonts w:eastAsia="Calibri"/>
              </w:rPr>
            </w:pPr>
            <w:r>
              <w:rPr>
                <w:rFonts w:eastAsia="Calibri"/>
              </w:rPr>
              <w:t>0</w:t>
            </w:r>
          </w:p>
          <w:p w14:paraId="27FDCC08" w14:textId="7B55AF8B" w:rsidR="00A924FD" w:rsidRPr="001058BA" w:rsidRDefault="00A924FD" w:rsidP="00153F83">
            <w:pPr>
              <w:jc w:val="both"/>
              <w:rPr>
                <w:rFonts w:eastAsia="Calibri"/>
              </w:rPr>
            </w:pPr>
          </w:p>
        </w:tc>
        <w:tc>
          <w:tcPr>
            <w:tcW w:w="1276" w:type="dxa"/>
            <w:shd w:val="clear" w:color="auto" w:fill="auto"/>
          </w:tcPr>
          <w:p w14:paraId="0354756D" w14:textId="77777777" w:rsidR="00153F83" w:rsidRDefault="00153F83" w:rsidP="00153F83">
            <w:pPr>
              <w:jc w:val="both"/>
              <w:rPr>
                <w:rFonts w:eastAsia="Calibri"/>
              </w:rPr>
            </w:pPr>
          </w:p>
          <w:p w14:paraId="7C71B5A3" w14:textId="5A298713" w:rsidR="00A924FD" w:rsidRPr="001058BA" w:rsidRDefault="00A924FD" w:rsidP="00153F83">
            <w:pPr>
              <w:jc w:val="both"/>
              <w:rPr>
                <w:rFonts w:eastAsia="Calibri"/>
              </w:rPr>
            </w:pPr>
            <w:r>
              <w:rPr>
                <w:rFonts w:eastAsia="Calibri"/>
              </w:rPr>
              <w:t>0</w:t>
            </w:r>
          </w:p>
        </w:tc>
        <w:tc>
          <w:tcPr>
            <w:tcW w:w="1276" w:type="dxa"/>
            <w:shd w:val="clear" w:color="auto" w:fill="auto"/>
          </w:tcPr>
          <w:p w14:paraId="738E882A" w14:textId="77777777" w:rsidR="00153F83" w:rsidRDefault="00153F83" w:rsidP="00153F83">
            <w:pPr>
              <w:jc w:val="both"/>
              <w:rPr>
                <w:rFonts w:eastAsia="Calibri"/>
              </w:rPr>
            </w:pPr>
          </w:p>
          <w:p w14:paraId="373C0285" w14:textId="3E0AB628" w:rsidR="00A924FD" w:rsidRPr="001058BA" w:rsidRDefault="00A924FD" w:rsidP="00153F83">
            <w:pPr>
              <w:jc w:val="both"/>
              <w:rPr>
                <w:rFonts w:eastAsia="Calibri"/>
              </w:rPr>
            </w:pPr>
            <w:r>
              <w:rPr>
                <w:rFonts w:eastAsia="Calibri"/>
              </w:rPr>
              <w:t>0</w:t>
            </w:r>
          </w:p>
        </w:tc>
        <w:tc>
          <w:tcPr>
            <w:tcW w:w="850" w:type="dxa"/>
            <w:shd w:val="clear" w:color="auto" w:fill="auto"/>
          </w:tcPr>
          <w:p w14:paraId="27AD5675" w14:textId="77777777" w:rsidR="00153F83" w:rsidRDefault="00153F83" w:rsidP="00153F83">
            <w:pPr>
              <w:jc w:val="both"/>
              <w:rPr>
                <w:rFonts w:eastAsia="Calibri"/>
              </w:rPr>
            </w:pPr>
          </w:p>
          <w:p w14:paraId="14397F16" w14:textId="40EFE585" w:rsidR="00A924FD" w:rsidRPr="001058BA" w:rsidRDefault="00A924FD" w:rsidP="00153F83">
            <w:pPr>
              <w:jc w:val="both"/>
              <w:rPr>
                <w:rFonts w:eastAsia="Calibri"/>
              </w:rPr>
            </w:pPr>
          </w:p>
        </w:tc>
      </w:tr>
      <w:tr w:rsidR="00153F83" w:rsidRPr="001058BA" w14:paraId="7B54347C" w14:textId="77777777" w:rsidTr="001A7085">
        <w:tc>
          <w:tcPr>
            <w:tcW w:w="2518" w:type="dxa"/>
            <w:shd w:val="clear" w:color="auto" w:fill="auto"/>
          </w:tcPr>
          <w:p w14:paraId="66A450C3" w14:textId="77777777" w:rsidR="00153F83" w:rsidRPr="0099378A" w:rsidRDefault="00153F83" w:rsidP="00153F83">
            <w:pPr>
              <w:numPr>
                <w:ilvl w:val="0"/>
                <w:numId w:val="3"/>
              </w:numPr>
              <w:rPr>
                <w:rFonts w:eastAsia="Calibri"/>
                <w:sz w:val="22"/>
                <w:szCs w:val="22"/>
              </w:rPr>
            </w:pPr>
            <w:r w:rsidRPr="0099378A">
              <w:rPr>
                <w:rFonts w:eastAsia="Calibri"/>
                <w:sz w:val="22"/>
                <w:szCs w:val="22"/>
              </w:rPr>
              <w:t xml:space="preserve">PRIHODI OD  ŠKOLARINA </w:t>
            </w:r>
            <w:r>
              <w:rPr>
                <w:rFonts w:eastAsia="Calibri"/>
                <w:sz w:val="22"/>
                <w:szCs w:val="22"/>
              </w:rPr>
              <w:t xml:space="preserve">I UPISA </w:t>
            </w:r>
            <w:r w:rsidRPr="0099378A">
              <w:rPr>
                <w:rFonts w:eastAsia="Calibri"/>
                <w:sz w:val="22"/>
                <w:szCs w:val="22"/>
              </w:rPr>
              <w:t>STUDIJA NA NJEMAČKOM</w:t>
            </w:r>
          </w:p>
        </w:tc>
        <w:tc>
          <w:tcPr>
            <w:tcW w:w="1276" w:type="dxa"/>
            <w:shd w:val="clear" w:color="auto" w:fill="auto"/>
          </w:tcPr>
          <w:p w14:paraId="7B637B0D" w14:textId="77777777" w:rsidR="00153F83" w:rsidRDefault="00153F83" w:rsidP="00153F83">
            <w:pPr>
              <w:jc w:val="both"/>
              <w:rPr>
                <w:rFonts w:eastAsia="Calibri"/>
              </w:rPr>
            </w:pPr>
          </w:p>
          <w:p w14:paraId="3F0A77B4" w14:textId="77777777" w:rsidR="00A924FD" w:rsidRDefault="00A924FD" w:rsidP="00153F83">
            <w:pPr>
              <w:jc w:val="both"/>
              <w:rPr>
                <w:rFonts w:eastAsia="Calibri"/>
              </w:rPr>
            </w:pPr>
          </w:p>
          <w:p w14:paraId="58FE1CDF" w14:textId="020773A1" w:rsidR="00A924FD" w:rsidRPr="001058BA" w:rsidRDefault="00FC5197" w:rsidP="00153F83">
            <w:pPr>
              <w:jc w:val="both"/>
              <w:rPr>
                <w:rFonts w:eastAsia="Calibri"/>
              </w:rPr>
            </w:pPr>
            <w:r>
              <w:rPr>
                <w:rFonts w:eastAsia="Calibri"/>
              </w:rPr>
              <w:t>7</w:t>
            </w:r>
            <w:r w:rsidR="00A924FD">
              <w:rPr>
                <w:rFonts w:eastAsia="Calibri"/>
              </w:rPr>
              <w:t>20.579</w:t>
            </w:r>
          </w:p>
        </w:tc>
        <w:tc>
          <w:tcPr>
            <w:tcW w:w="1276" w:type="dxa"/>
            <w:shd w:val="clear" w:color="auto" w:fill="auto"/>
          </w:tcPr>
          <w:p w14:paraId="5FBEAC0F" w14:textId="77777777" w:rsidR="00153F83" w:rsidRDefault="00153F83" w:rsidP="00153F83">
            <w:pPr>
              <w:jc w:val="both"/>
              <w:rPr>
                <w:rFonts w:eastAsia="Calibri"/>
              </w:rPr>
            </w:pPr>
          </w:p>
          <w:p w14:paraId="30DBAF71" w14:textId="77777777" w:rsidR="00153F83" w:rsidRDefault="00153F83" w:rsidP="00153F83">
            <w:pPr>
              <w:jc w:val="both"/>
              <w:rPr>
                <w:rFonts w:eastAsia="Calibri"/>
              </w:rPr>
            </w:pPr>
          </w:p>
          <w:p w14:paraId="5D0E91DE" w14:textId="76E63C6B" w:rsidR="00153F83" w:rsidRPr="001058BA" w:rsidRDefault="00153F83" w:rsidP="00153F83">
            <w:pPr>
              <w:jc w:val="both"/>
              <w:rPr>
                <w:rFonts w:eastAsia="Calibri"/>
              </w:rPr>
            </w:pPr>
            <w:r>
              <w:rPr>
                <w:rFonts w:eastAsia="Calibri"/>
              </w:rPr>
              <w:t>700.776</w:t>
            </w:r>
          </w:p>
        </w:tc>
        <w:tc>
          <w:tcPr>
            <w:tcW w:w="1275" w:type="dxa"/>
            <w:shd w:val="clear" w:color="auto" w:fill="auto"/>
          </w:tcPr>
          <w:p w14:paraId="22263933" w14:textId="77777777" w:rsidR="00153F83" w:rsidRDefault="00153F83" w:rsidP="00153F83">
            <w:pPr>
              <w:jc w:val="both"/>
              <w:rPr>
                <w:rFonts w:eastAsia="Calibri"/>
              </w:rPr>
            </w:pPr>
          </w:p>
          <w:p w14:paraId="06760715" w14:textId="77777777" w:rsidR="000E28D9" w:rsidRDefault="000E28D9" w:rsidP="00153F83">
            <w:pPr>
              <w:jc w:val="both"/>
              <w:rPr>
                <w:rFonts w:eastAsia="Calibri"/>
              </w:rPr>
            </w:pPr>
          </w:p>
          <w:p w14:paraId="28A4D520" w14:textId="15C7352D" w:rsidR="000E28D9" w:rsidRPr="001058BA" w:rsidRDefault="000E28D9" w:rsidP="00153F83">
            <w:pPr>
              <w:jc w:val="both"/>
              <w:rPr>
                <w:rFonts w:eastAsia="Calibri"/>
              </w:rPr>
            </w:pPr>
            <w:r>
              <w:rPr>
                <w:rFonts w:eastAsia="Calibri"/>
              </w:rPr>
              <w:t>800.000</w:t>
            </w:r>
          </w:p>
        </w:tc>
        <w:tc>
          <w:tcPr>
            <w:tcW w:w="1276" w:type="dxa"/>
            <w:shd w:val="clear" w:color="auto" w:fill="auto"/>
          </w:tcPr>
          <w:p w14:paraId="34E73449" w14:textId="77777777" w:rsidR="00153F83" w:rsidRDefault="00153F83" w:rsidP="00153F83">
            <w:pPr>
              <w:jc w:val="both"/>
              <w:rPr>
                <w:rFonts w:eastAsia="Calibri"/>
              </w:rPr>
            </w:pPr>
          </w:p>
          <w:p w14:paraId="03086131" w14:textId="77777777" w:rsidR="000E28D9" w:rsidRDefault="000E28D9" w:rsidP="00153F83">
            <w:pPr>
              <w:jc w:val="both"/>
              <w:rPr>
                <w:rFonts w:eastAsia="Calibri"/>
              </w:rPr>
            </w:pPr>
          </w:p>
          <w:p w14:paraId="487928B9" w14:textId="1B93B9A5" w:rsidR="000E28D9" w:rsidRPr="001058BA" w:rsidRDefault="000E28D9" w:rsidP="00153F83">
            <w:pPr>
              <w:jc w:val="both"/>
              <w:rPr>
                <w:rFonts w:eastAsia="Calibri"/>
              </w:rPr>
            </w:pPr>
            <w:r>
              <w:rPr>
                <w:rFonts w:eastAsia="Calibri"/>
              </w:rPr>
              <w:t>830.000</w:t>
            </w:r>
          </w:p>
        </w:tc>
        <w:tc>
          <w:tcPr>
            <w:tcW w:w="1276" w:type="dxa"/>
            <w:shd w:val="clear" w:color="auto" w:fill="auto"/>
          </w:tcPr>
          <w:p w14:paraId="66328220" w14:textId="77777777" w:rsidR="00153F83" w:rsidRDefault="00153F83" w:rsidP="00153F83">
            <w:pPr>
              <w:jc w:val="both"/>
              <w:rPr>
                <w:rFonts w:eastAsia="Calibri"/>
              </w:rPr>
            </w:pPr>
          </w:p>
          <w:p w14:paraId="1A6D276E" w14:textId="77777777" w:rsidR="000E28D9" w:rsidRDefault="000E28D9" w:rsidP="00153F83">
            <w:pPr>
              <w:jc w:val="both"/>
              <w:rPr>
                <w:rFonts w:eastAsia="Calibri"/>
              </w:rPr>
            </w:pPr>
          </w:p>
          <w:p w14:paraId="3DED7B84" w14:textId="13C8E721" w:rsidR="000E28D9" w:rsidRPr="001058BA" w:rsidRDefault="000E28D9" w:rsidP="00153F83">
            <w:pPr>
              <w:jc w:val="both"/>
              <w:rPr>
                <w:rFonts w:eastAsia="Calibri"/>
              </w:rPr>
            </w:pPr>
            <w:r>
              <w:rPr>
                <w:rFonts w:eastAsia="Calibri"/>
              </w:rPr>
              <w:t>865</w:t>
            </w:r>
            <w:r w:rsidR="00C41438">
              <w:rPr>
                <w:rFonts w:eastAsia="Calibri"/>
              </w:rPr>
              <w:t>.</w:t>
            </w:r>
            <w:r>
              <w:rPr>
                <w:rFonts w:eastAsia="Calibri"/>
              </w:rPr>
              <w:t>000</w:t>
            </w:r>
          </w:p>
        </w:tc>
        <w:tc>
          <w:tcPr>
            <w:tcW w:w="850" w:type="dxa"/>
            <w:shd w:val="clear" w:color="auto" w:fill="auto"/>
          </w:tcPr>
          <w:p w14:paraId="7E426DAA" w14:textId="77777777" w:rsidR="00153F83" w:rsidRDefault="00153F83" w:rsidP="00153F83">
            <w:pPr>
              <w:jc w:val="both"/>
              <w:rPr>
                <w:rFonts w:eastAsia="Calibri"/>
              </w:rPr>
            </w:pPr>
          </w:p>
          <w:p w14:paraId="2BB150E9" w14:textId="77777777" w:rsidR="00C41438" w:rsidRDefault="00C41438" w:rsidP="00153F83">
            <w:pPr>
              <w:jc w:val="both"/>
              <w:rPr>
                <w:rFonts w:eastAsia="Calibri"/>
              </w:rPr>
            </w:pPr>
          </w:p>
          <w:p w14:paraId="00814C2E" w14:textId="07ECEB56" w:rsidR="00C41438" w:rsidRPr="001058BA" w:rsidRDefault="00C41438" w:rsidP="00153F83">
            <w:pPr>
              <w:jc w:val="both"/>
              <w:rPr>
                <w:rFonts w:eastAsia="Calibri"/>
              </w:rPr>
            </w:pPr>
            <w:r>
              <w:rPr>
                <w:rFonts w:eastAsia="Calibri"/>
              </w:rPr>
              <w:t>1,14</w:t>
            </w:r>
          </w:p>
        </w:tc>
      </w:tr>
      <w:tr w:rsidR="00A924FD" w:rsidRPr="001058BA" w14:paraId="4C419DEC" w14:textId="77777777" w:rsidTr="001A7085">
        <w:tc>
          <w:tcPr>
            <w:tcW w:w="2518" w:type="dxa"/>
            <w:shd w:val="clear" w:color="auto" w:fill="auto"/>
          </w:tcPr>
          <w:p w14:paraId="544B085D" w14:textId="4CAE2D60" w:rsidR="00A924FD" w:rsidRPr="0031654D" w:rsidRDefault="00A924FD" w:rsidP="00A924FD">
            <w:pPr>
              <w:pStyle w:val="Odlomakpopisa"/>
              <w:numPr>
                <w:ilvl w:val="0"/>
                <w:numId w:val="3"/>
              </w:numPr>
              <w:rPr>
                <w:rFonts w:eastAsia="Calibri"/>
                <w:sz w:val="22"/>
                <w:szCs w:val="22"/>
              </w:rPr>
            </w:pPr>
            <w:r w:rsidRPr="0031654D">
              <w:rPr>
                <w:rFonts w:eastAsia="Calibri"/>
                <w:sz w:val="22"/>
                <w:szCs w:val="22"/>
              </w:rPr>
              <w:t>PRIHODI OD UPISA I ŠKOLARINA SPECIJALISTIČKIH STUDIJA</w:t>
            </w:r>
          </w:p>
        </w:tc>
        <w:tc>
          <w:tcPr>
            <w:tcW w:w="1276" w:type="dxa"/>
            <w:shd w:val="clear" w:color="auto" w:fill="auto"/>
          </w:tcPr>
          <w:p w14:paraId="569BB99F" w14:textId="77777777" w:rsidR="00A924FD" w:rsidRDefault="00A924FD" w:rsidP="00A924FD">
            <w:pPr>
              <w:jc w:val="both"/>
              <w:rPr>
                <w:rFonts w:eastAsia="Calibri"/>
              </w:rPr>
            </w:pPr>
          </w:p>
          <w:p w14:paraId="5D8CA855" w14:textId="64922B80" w:rsidR="00A924FD" w:rsidRDefault="00A924FD" w:rsidP="00A924FD">
            <w:pPr>
              <w:jc w:val="both"/>
              <w:rPr>
                <w:rFonts w:eastAsia="Calibri"/>
              </w:rPr>
            </w:pPr>
            <w:r>
              <w:rPr>
                <w:rFonts w:eastAsia="Calibri"/>
              </w:rPr>
              <w:t>38.904</w:t>
            </w:r>
          </w:p>
        </w:tc>
        <w:tc>
          <w:tcPr>
            <w:tcW w:w="1276" w:type="dxa"/>
            <w:shd w:val="clear" w:color="auto" w:fill="auto"/>
          </w:tcPr>
          <w:p w14:paraId="6A53E4B7" w14:textId="77777777" w:rsidR="00A924FD" w:rsidRDefault="00A924FD" w:rsidP="00A924FD">
            <w:pPr>
              <w:jc w:val="both"/>
              <w:rPr>
                <w:rFonts w:eastAsia="Calibri"/>
              </w:rPr>
            </w:pPr>
          </w:p>
          <w:p w14:paraId="7822A8D5" w14:textId="2F2CF230" w:rsidR="00A924FD" w:rsidRDefault="00A924FD" w:rsidP="00A924FD">
            <w:pPr>
              <w:jc w:val="both"/>
              <w:rPr>
                <w:rFonts w:eastAsia="Calibri"/>
              </w:rPr>
            </w:pPr>
            <w:r>
              <w:rPr>
                <w:rFonts w:eastAsia="Calibri"/>
              </w:rPr>
              <w:t>35.500</w:t>
            </w:r>
          </w:p>
        </w:tc>
        <w:tc>
          <w:tcPr>
            <w:tcW w:w="1275" w:type="dxa"/>
            <w:shd w:val="clear" w:color="auto" w:fill="auto"/>
          </w:tcPr>
          <w:p w14:paraId="08D418E1" w14:textId="77777777" w:rsidR="00A924FD" w:rsidRDefault="00A924FD" w:rsidP="00A924FD">
            <w:pPr>
              <w:jc w:val="both"/>
              <w:rPr>
                <w:rFonts w:eastAsia="Calibri"/>
              </w:rPr>
            </w:pPr>
          </w:p>
          <w:p w14:paraId="64B3D90E" w14:textId="42BB479F" w:rsidR="000E28D9" w:rsidRDefault="000E28D9" w:rsidP="00A924FD">
            <w:pPr>
              <w:jc w:val="both"/>
              <w:rPr>
                <w:rFonts w:eastAsia="Calibri"/>
              </w:rPr>
            </w:pPr>
            <w:r>
              <w:rPr>
                <w:rFonts w:eastAsia="Calibri"/>
              </w:rPr>
              <w:t>25.000</w:t>
            </w:r>
          </w:p>
        </w:tc>
        <w:tc>
          <w:tcPr>
            <w:tcW w:w="1276" w:type="dxa"/>
            <w:shd w:val="clear" w:color="auto" w:fill="auto"/>
          </w:tcPr>
          <w:p w14:paraId="08C312D5" w14:textId="77777777" w:rsidR="00A924FD" w:rsidRDefault="00A924FD" w:rsidP="00A924FD">
            <w:pPr>
              <w:jc w:val="both"/>
              <w:rPr>
                <w:rFonts w:eastAsia="Calibri"/>
              </w:rPr>
            </w:pPr>
          </w:p>
          <w:p w14:paraId="629ADAA8" w14:textId="5F703A8A" w:rsidR="000E28D9" w:rsidRDefault="000E28D9" w:rsidP="00A924FD">
            <w:pPr>
              <w:jc w:val="both"/>
              <w:rPr>
                <w:rFonts w:eastAsia="Calibri"/>
              </w:rPr>
            </w:pPr>
            <w:r>
              <w:rPr>
                <w:rFonts w:eastAsia="Calibri"/>
              </w:rPr>
              <w:t>25.000</w:t>
            </w:r>
          </w:p>
        </w:tc>
        <w:tc>
          <w:tcPr>
            <w:tcW w:w="1276" w:type="dxa"/>
            <w:shd w:val="clear" w:color="auto" w:fill="auto"/>
          </w:tcPr>
          <w:p w14:paraId="02426126" w14:textId="77777777" w:rsidR="00A924FD" w:rsidRDefault="00A924FD" w:rsidP="00A924FD">
            <w:pPr>
              <w:jc w:val="both"/>
              <w:rPr>
                <w:rFonts w:eastAsia="Calibri"/>
              </w:rPr>
            </w:pPr>
          </w:p>
          <w:p w14:paraId="69C34070" w14:textId="66C420FE" w:rsidR="000E28D9" w:rsidRDefault="000E28D9" w:rsidP="00A924FD">
            <w:pPr>
              <w:jc w:val="both"/>
              <w:rPr>
                <w:rFonts w:eastAsia="Calibri"/>
              </w:rPr>
            </w:pPr>
            <w:r>
              <w:rPr>
                <w:rFonts w:eastAsia="Calibri"/>
              </w:rPr>
              <w:t>30.000</w:t>
            </w:r>
          </w:p>
        </w:tc>
        <w:tc>
          <w:tcPr>
            <w:tcW w:w="850" w:type="dxa"/>
            <w:shd w:val="clear" w:color="auto" w:fill="auto"/>
          </w:tcPr>
          <w:p w14:paraId="354A1BE4" w14:textId="77777777" w:rsidR="00A924FD" w:rsidRDefault="00A924FD" w:rsidP="00A924FD">
            <w:pPr>
              <w:jc w:val="both"/>
              <w:rPr>
                <w:rFonts w:eastAsia="Calibri"/>
              </w:rPr>
            </w:pPr>
          </w:p>
          <w:p w14:paraId="028BE7A0" w14:textId="56C63967" w:rsidR="00C41438" w:rsidRDefault="00C41438" w:rsidP="00A924FD">
            <w:pPr>
              <w:jc w:val="both"/>
              <w:rPr>
                <w:rFonts w:eastAsia="Calibri"/>
              </w:rPr>
            </w:pPr>
            <w:r>
              <w:rPr>
                <w:rFonts w:eastAsia="Calibri"/>
              </w:rPr>
              <w:t>0,70</w:t>
            </w:r>
          </w:p>
        </w:tc>
      </w:tr>
      <w:tr w:rsidR="00A924FD" w:rsidRPr="001058BA" w14:paraId="7BA55B2D" w14:textId="77777777" w:rsidTr="001A7085">
        <w:tc>
          <w:tcPr>
            <w:tcW w:w="2518" w:type="dxa"/>
            <w:shd w:val="clear" w:color="auto" w:fill="auto"/>
          </w:tcPr>
          <w:p w14:paraId="028831DA" w14:textId="0EAB0753" w:rsidR="00A924FD" w:rsidRPr="0031654D" w:rsidRDefault="00A924FD" w:rsidP="00A924FD">
            <w:pPr>
              <w:pStyle w:val="Odlomakpopisa"/>
              <w:numPr>
                <w:ilvl w:val="0"/>
                <w:numId w:val="3"/>
              </w:numPr>
              <w:rPr>
                <w:rFonts w:eastAsia="Calibri"/>
                <w:sz w:val="22"/>
                <w:szCs w:val="22"/>
              </w:rPr>
            </w:pPr>
            <w:r>
              <w:rPr>
                <w:rFonts w:eastAsia="Calibri"/>
                <w:sz w:val="22"/>
                <w:szCs w:val="22"/>
              </w:rPr>
              <w:t>KAMATE NA SREDSTVA PO VIĐENJU</w:t>
            </w:r>
          </w:p>
        </w:tc>
        <w:tc>
          <w:tcPr>
            <w:tcW w:w="1276" w:type="dxa"/>
            <w:shd w:val="clear" w:color="auto" w:fill="auto"/>
          </w:tcPr>
          <w:p w14:paraId="2C6F5B6D" w14:textId="77777777" w:rsidR="00A924FD" w:rsidRDefault="00A924FD" w:rsidP="00A924FD">
            <w:pPr>
              <w:jc w:val="both"/>
              <w:rPr>
                <w:rFonts w:eastAsia="Calibri"/>
              </w:rPr>
            </w:pPr>
          </w:p>
          <w:p w14:paraId="3DED2082" w14:textId="087A5B63" w:rsidR="000E28D9" w:rsidRDefault="000E28D9" w:rsidP="00A924FD">
            <w:pPr>
              <w:jc w:val="both"/>
              <w:rPr>
                <w:rFonts w:eastAsia="Calibri"/>
              </w:rPr>
            </w:pPr>
            <w:r>
              <w:rPr>
                <w:rFonts w:eastAsia="Calibri"/>
              </w:rPr>
              <w:t>539</w:t>
            </w:r>
          </w:p>
        </w:tc>
        <w:tc>
          <w:tcPr>
            <w:tcW w:w="1276" w:type="dxa"/>
            <w:shd w:val="clear" w:color="auto" w:fill="auto"/>
          </w:tcPr>
          <w:p w14:paraId="303CA48A" w14:textId="77777777" w:rsidR="00A924FD" w:rsidRDefault="00A924FD" w:rsidP="00A924FD">
            <w:pPr>
              <w:jc w:val="both"/>
              <w:rPr>
                <w:rFonts w:eastAsia="Calibri"/>
              </w:rPr>
            </w:pPr>
          </w:p>
          <w:p w14:paraId="4D04EA6D" w14:textId="7E57CA29" w:rsidR="00A924FD" w:rsidRDefault="00A924FD" w:rsidP="00A924FD">
            <w:pPr>
              <w:jc w:val="both"/>
              <w:rPr>
                <w:rFonts w:eastAsia="Calibri"/>
              </w:rPr>
            </w:pPr>
            <w:r>
              <w:rPr>
                <w:rFonts w:eastAsia="Calibri"/>
              </w:rPr>
              <w:t>1.000</w:t>
            </w:r>
          </w:p>
        </w:tc>
        <w:tc>
          <w:tcPr>
            <w:tcW w:w="1275" w:type="dxa"/>
            <w:shd w:val="clear" w:color="auto" w:fill="auto"/>
          </w:tcPr>
          <w:p w14:paraId="6EC3010E" w14:textId="77777777" w:rsidR="00A924FD" w:rsidRDefault="00A924FD" w:rsidP="00A924FD">
            <w:pPr>
              <w:jc w:val="both"/>
              <w:rPr>
                <w:rFonts w:eastAsia="Calibri"/>
              </w:rPr>
            </w:pPr>
          </w:p>
          <w:p w14:paraId="50A24837" w14:textId="093D656E" w:rsidR="000E28D9" w:rsidRDefault="000E28D9" w:rsidP="00A924FD">
            <w:pPr>
              <w:jc w:val="both"/>
              <w:rPr>
                <w:rFonts w:eastAsia="Calibri"/>
              </w:rPr>
            </w:pPr>
            <w:r>
              <w:rPr>
                <w:rFonts w:eastAsia="Calibri"/>
              </w:rPr>
              <w:t>1.000</w:t>
            </w:r>
          </w:p>
        </w:tc>
        <w:tc>
          <w:tcPr>
            <w:tcW w:w="1276" w:type="dxa"/>
            <w:shd w:val="clear" w:color="auto" w:fill="auto"/>
          </w:tcPr>
          <w:p w14:paraId="0ACB407F" w14:textId="77777777" w:rsidR="00A924FD" w:rsidRDefault="00A924FD" w:rsidP="00A924FD">
            <w:pPr>
              <w:jc w:val="both"/>
              <w:rPr>
                <w:rFonts w:eastAsia="Calibri"/>
              </w:rPr>
            </w:pPr>
          </w:p>
          <w:p w14:paraId="7CB9400A" w14:textId="2743F62C" w:rsidR="000E28D9" w:rsidRDefault="000E28D9" w:rsidP="00A924FD">
            <w:pPr>
              <w:jc w:val="both"/>
              <w:rPr>
                <w:rFonts w:eastAsia="Calibri"/>
              </w:rPr>
            </w:pPr>
            <w:r>
              <w:rPr>
                <w:rFonts w:eastAsia="Calibri"/>
              </w:rPr>
              <w:t>1.500</w:t>
            </w:r>
          </w:p>
        </w:tc>
        <w:tc>
          <w:tcPr>
            <w:tcW w:w="1276" w:type="dxa"/>
            <w:shd w:val="clear" w:color="auto" w:fill="auto"/>
          </w:tcPr>
          <w:p w14:paraId="7D1A6A4C" w14:textId="77777777" w:rsidR="00A924FD" w:rsidRDefault="00A924FD" w:rsidP="00A924FD">
            <w:pPr>
              <w:jc w:val="both"/>
              <w:rPr>
                <w:rFonts w:eastAsia="Calibri"/>
              </w:rPr>
            </w:pPr>
          </w:p>
          <w:p w14:paraId="69DACC92" w14:textId="36023DE9" w:rsidR="000E28D9" w:rsidRDefault="000E28D9" w:rsidP="00A924FD">
            <w:pPr>
              <w:jc w:val="both"/>
              <w:rPr>
                <w:rFonts w:eastAsia="Calibri"/>
              </w:rPr>
            </w:pPr>
            <w:r>
              <w:rPr>
                <w:rFonts w:eastAsia="Calibri"/>
              </w:rPr>
              <w:t>1.500</w:t>
            </w:r>
          </w:p>
        </w:tc>
        <w:tc>
          <w:tcPr>
            <w:tcW w:w="850" w:type="dxa"/>
            <w:shd w:val="clear" w:color="auto" w:fill="auto"/>
          </w:tcPr>
          <w:p w14:paraId="5A147BD7" w14:textId="77777777" w:rsidR="00A924FD" w:rsidRDefault="00A924FD" w:rsidP="00A924FD">
            <w:pPr>
              <w:jc w:val="both"/>
              <w:rPr>
                <w:rFonts w:eastAsia="Calibri"/>
              </w:rPr>
            </w:pPr>
          </w:p>
          <w:p w14:paraId="09E6F082" w14:textId="6E9C696E" w:rsidR="000E28D9" w:rsidRDefault="000E28D9" w:rsidP="00A924FD">
            <w:pPr>
              <w:jc w:val="both"/>
              <w:rPr>
                <w:rFonts w:eastAsia="Calibri"/>
              </w:rPr>
            </w:pPr>
            <w:r>
              <w:rPr>
                <w:rFonts w:eastAsia="Calibri"/>
              </w:rPr>
              <w:t>1,85</w:t>
            </w:r>
          </w:p>
        </w:tc>
      </w:tr>
      <w:tr w:rsidR="00D541B4" w:rsidRPr="001058BA" w14:paraId="77E8F453" w14:textId="77777777" w:rsidTr="001A7085">
        <w:tc>
          <w:tcPr>
            <w:tcW w:w="2518" w:type="dxa"/>
            <w:shd w:val="clear" w:color="auto" w:fill="auto"/>
          </w:tcPr>
          <w:p w14:paraId="686E6697" w14:textId="77777777" w:rsidR="00D541B4" w:rsidRPr="001058BA" w:rsidRDefault="00D541B4" w:rsidP="00D541B4">
            <w:pPr>
              <w:rPr>
                <w:rFonts w:eastAsia="Calibri"/>
              </w:rPr>
            </w:pPr>
            <w:r w:rsidRPr="001058BA">
              <w:rPr>
                <w:rFonts w:eastAsia="Calibri"/>
              </w:rPr>
              <w:t>SVEUKUPNO :</w:t>
            </w:r>
          </w:p>
        </w:tc>
        <w:tc>
          <w:tcPr>
            <w:tcW w:w="1276" w:type="dxa"/>
            <w:shd w:val="clear" w:color="auto" w:fill="auto"/>
          </w:tcPr>
          <w:p w14:paraId="6E62A9A9" w14:textId="0F1E00AC" w:rsidR="00D541B4" w:rsidRPr="001058BA" w:rsidRDefault="00E92F93" w:rsidP="00D541B4">
            <w:pPr>
              <w:jc w:val="both"/>
              <w:rPr>
                <w:rFonts w:eastAsia="Calibri"/>
              </w:rPr>
            </w:pPr>
            <w:r>
              <w:rPr>
                <w:rFonts w:eastAsia="Calibri"/>
              </w:rPr>
              <w:t>1.174.690</w:t>
            </w:r>
          </w:p>
        </w:tc>
        <w:tc>
          <w:tcPr>
            <w:tcW w:w="1276" w:type="dxa"/>
            <w:shd w:val="clear" w:color="auto" w:fill="auto"/>
          </w:tcPr>
          <w:p w14:paraId="5A13AD6E" w14:textId="65191425" w:rsidR="00D541B4" w:rsidRPr="001058BA" w:rsidRDefault="00D541B4" w:rsidP="00D541B4">
            <w:pPr>
              <w:jc w:val="both"/>
              <w:rPr>
                <w:rFonts w:eastAsia="Calibri"/>
              </w:rPr>
            </w:pPr>
            <w:r>
              <w:rPr>
                <w:rFonts w:eastAsia="Calibri"/>
              </w:rPr>
              <w:t>1.</w:t>
            </w:r>
            <w:r w:rsidR="00E92F93">
              <w:rPr>
                <w:rFonts w:eastAsia="Calibri"/>
              </w:rPr>
              <w:t>669.700</w:t>
            </w:r>
          </w:p>
        </w:tc>
        <w:tc>
          <w:tcPr>
            <w:tcW w:w="1275" w:type="dxa"/>
            <w:shd w:val="clear" w:color="auto" w:fill="auto"/>
          </w:tcPr>
          <w:p w14:paraId="3FF14AAC" w14:textId="17D5CE90" w:rsidR="00D541B4" w:rsidRPr="001058BA" w:rsidRDefault="00D541B4" w:rsidP="00D541B4">
            <w:pPr>
              <w:jc w:val="both"/>
              <w:rPr>
                <w:rFonts w:eastAsia="Calibri"/>
              </w:rPr>
            </w:pPr>
            <w:r>
              <w:rPr>
                <w:rFonts w:eastAsia="Calibri"/>
              </w:rPr>
              <w:t>1.</w:t>
            </w:r>
            <w:r w:rsidR="00E92F93">
              <w:rPr>
                <w:rFonts w:eastAsia="Calibri"/>
              </w:rPr>
              <w:t>4</w:t>
            </w:r>
            <w:r w:rsidR="00BD0845">
              <w:rPr>
                <w:rFonts w:eastAsia="Calibri"/>
              </w:rPr>
              <w:t>22</w:t>
            </w:r>
            <w:r w:rsidR="00E92F93">
              <w:rPr>
                <w:rFonts w:eastAsia="Calibri"/>
              </w:rPr>
              <w:t>.</w:t>
            </w:r>
            <w:r w:rsidR="00BD0845">
              <w:rPr>
                <w:rFonts w:eastAsia="Calibri"/>
              </w:rPr>
              <w:t>70</w:t>
            </w:r>
            <w:r w:rsidR="00E92F93">
              <w:rPr>
                <w:rFonts w:eastAsia="Calibri"/>
              </w:rPr>
              <w:t>0</w:t>
            </w:r>
          </w:p>
        </w:tc>
        <w:tc>
          <w:tcPr>
            <w:tcW w:w="1276" w:type="dxa"/>
            <w:shd w:val="clear" w:color="auto" w:fill="auto"/>
          </w:tcPr>
          <w:p w14:paraId="26CA900A" w14:textId="6D769F83" w:rsidR="00D541B4" w:rsidRPr="001058BA" w:rsidRDefault="00D541B4" w:rsidP="00D541B4">
            <w:pPr>
              <w:jc w:val="both"/>
              <w:rPr>
                <w:rFonts w:eastAsia="Calibri"/>
              </w:rPr>
            </w:pPr>
            <w:r>
              <w:rPr>
                <w:rFonts w:eastAsia="Calibri"/>
              </w:rPr>
              <w:t>1.4</w:t>
            </w:r>
            <w:r w:rsidR="00BD0845">
              <w:rPr>
                <w:rFonts w:eastAsia="Calibri"/>
              </w:rPr>
              <w:t>32</w:t>
            </w:r>
            <w:r>
              <w:rPr>
                <w:rFonts w:eastAsia="Calibri"/>
              </w:rPr>
              <w:t>.</w:t>
            </w:r>
            <w:r w:rsidR="00BD0845">
              <w:rPr>
                <w:rFonts w:eastAsia="Calibri"/>
              </w:rPr>
              <w:t>70</w:t>
            </w:r>
            <w:r>
              <w:rPr>
                <w:rFonts w:eastAsia="Calibri"/>
              </w:rPr>
              <w:t>0</w:t>
            </w:r>
          </w:p>
        </w:tc>
        <w:tc>
          <w:tcPr>
            <w:tcW w:w="1276" w:type="dxa"/>
            <w:shd w:val="clear" w:color="auto" w:fill="auto"/>
          </w:tcPr>
          <w:p w14:paraId="44048428" w14:textId="0A2D87B4" w:rsidR="00D541B4" w:rsidRPr="001058BA" w:rsidRDefault="00D541B4" w:rsidP="00D541B4">
            <w:pPr>
              <w:jc w:val="both"/>
              <w:rPr>
                <w:rFonts w:eastAsia="Calibri"/>
              </w:rPr>
            </w:pPr>
            <w:r>
              <w:rPr>
                <w:rFonts w:eastAsia="Calibri"/>
              </w:rPr>
              <w:t>1.4</w:t>
            </w:r>
            <w:r w:rsidR="00BD0845">
              <w:rPr>
                <w:rFonts w:eastAsia="Calibri"/>
              </w:rPr>
              <w:t>31</w:t>
            </w:r>
            <w:r>
              <w:rPr>
                <w:rFonts w:eastAsia="Calibri"/>
              </w:rPr>
              <w:t>.</w:t>
            </w:r>
            <w:r w:rsidR="00BD0845">
              <w:rPr>
                <w:rFonts w:eastAsia="Calibri"/>
              </w:rPr>
              <w:t>5</w:t>
            </w:r>
            <w:r>
              <w:rPr>
                <w:rFonts w:eastAsia="Calibri"/>
              </w:rPr>
              <w:t>00</w:t>
            </w:r>
          </w:p>
        </w:tc>
        <w:tc>
          <w:tcPr>
            <w:tcW w:w="850" w:type="dxa"/>
            <w:shd w:val="clear" w:color="auto" w:fill="auto"/>
          </w:tcPr>
          <w:p w14:paraId="7C4ED908" w14:textId="77777777" w:rsidR="00D541B4" w:rsidRPr="001058BA" w:rsidRDefault="00D541B4" w:rsidP="00D541B4">
            <w:pPr>
              <w:jc w:val="both"/>
              <w:rPr>
                <w:rFonts w:eastAsia="Calibri"/>
              </w:rPr>
            </w:pPr>
          </w:p>
        </w:tc>
      </w:tr>
    </w:tbl>
    <w:p w14:paraId="3EF20E10" w14:textId="1A4773B9" w:rsidR="00FF09D7" w:rsidRDefault="00FF09D7" w:rsidP="00FF09D7"/>
    <w:p w14:paraId="671243AB" w14:textId="77777777" w:rsidR="00FF09D7" w:rsidRPr="001058BA" w:rsidRDefault="00FF09D7" w:rsidP="00FF09D7"/>
    <w:p w14:paraId="42BAD861" w14:textId="77777777" w:rsidR="00FF09D7" w:rsidRPr="004B6A56" w:rsidRDefault="00FF09D7" w:rsidP="00FF09D7">
      <w:pPr>
        <w:rPr>
          <w:b/>
        </w:rPr>
      </w:pPr>
      <w:r w:rsidRPr="004B6A56">
        <w:rPr>
          <w:b/>
        </w:rPr>
        <w:t>IZVOR  52 – OSTALE POMOĆI</w:t>
      </w:r>
    </w:p>
    <w:p w14:paraId="150BD23D" w14:textId="77777777" w:rsidR="00FF09D7" w:rsidRPr="001058BA" w:rsidRDefault="00FF09D7" w:rsidP="00FF09D7"/>
    <w:p w14:paraId="018D2F34" w14:textId="088FB1DB" w:rsidR="00FF09D7" w:rsidRDefault="00FF09D7" w:rsidP="00FF09D7">
      <w:r w:rsidRPr="001058BA">
        <w:t>Planirani prihod iz izvora 52 odnosi se na prihod od jedinica lokalne samouprave, odnosno pomoći iz gradskih i županijskih proračuna, kojima se financiraju studentski projekti OSCON,</w:t>
      </w:r>
      <w:r w:rsidR="00E92F93">
        <w:t xml:space="preserve"> ali i </w:t>
      </w:r>
      <w:r w:rsidR="00B031D9">
        <w:t>projekti potpisani u 2023. i 2024. g.</w:t>
      </w:r>
      <w:r w:rsidRPr="001058BA">
        <w:t xml:space="preserve"> </w:t>
      </w:r>
      <w:r w:rsidR="00B031D9">
        <w:t xml:space="preserve">NPOO „Medicinski potvrđeno“, Pianoforte „Sonora“, Interreg HR-SRB </w:t>
      </w:r>
      <w:r w:rsidR="00BD0845">
        <w:t xml:space="preserve">- </w:t>
      </w:r>
      <w:r w:rsidR="00B031D9">
        <w:t xml:space="preserve">„Blood Rheo App“, i „Abiders“, </w:t>
      </w:r>
      <w:r>
        <w:t>kao i financiranje projekta putem Hrvatske zaklade za znanost</w:t>
      </w:r>
      <w:r w:rsidR="000E3462">
        <w:t xml:space="preserve">. </w:t>
      </w:r>
      <w:r w:rsidR="00107774">
        <w:t>Projekt Hrvatske zaklade za znanost završava u 2025. godini, te ovi prihodi nisu planirani u projekcijama za 2026. godinu.</w:t>
      </w:r>
      <w:r w:rsidR="00300722">
        <w:t xml:space="preserve"> Ukupno planirana sredstva po ov</w:t>
      </w:r>
      <w:r w:rsidR="0087512A">
        <w:t>im</w:t>
      </w:r>
      <w:r w:rsidR="00300722">
        <w:t xml:space="preserve"> projekt</w:t>
      </w:r>
      <w:r w:rsidR="0087512A">
        <w:t>ima</w:t>
      </w:r>
      <w:r w:rsidR="00300722">
        <w:t xml:space="preserve"> za 202</w:t>
      </w:r>
      <w:r w:rsidR="00E92F93">
        <w:t>5</w:t>
      </w:r>
      <w:r w:rsidR="00300722">
        <w:t xml:space="preserve">. godinu iznose </w:t>
      </w:r>
      <w:r w:rsidR="00BD0845">
        <w:t>132</w:t>
      </w:r>
      <w:r w:rsidR="00E92F93">
        <w:t>.</w:t>
      </w:r>
      <w:r w:rsidR="00BD0845">
        <w:t>48</w:t>
      </w:r>
      <w:r w:rsidR="00E92F93">
        <w:t>4</w:t>
      </w:r>
      <w:r w:rsidR="00300722">
        <w:t xml:space="preserve"> EUR-a,  a za 202</w:t>
      </w:r>
      <w:r w:rsidR="00E92F93">
        <w:t>6</w:t>
      </w:r>
      <w:r w:rsidR="00300722">
        <w:t xml:space="preserve">. godinu </w:t>
      </w:r>
    </w:p>
    <w:p w14:paraId="23C8271F" w14:textId="0EA66ACA" w:rsidR="000E3462" w:rsidRPr="001058BA" w:rsidRDefault="0087512A" w:rsidP="00FF09D7">
      <w:r>
        <w:t>s</w:t>
      </w:r>
      <w:r w:rsidR="000E3462">
        <w:t>ve</w:t>
      </w:r>
      <w:r w:rsidR="000E3462" w:rsidRPr="001058BA">
        <w:t>ukupno</w:t>
      </w:r>
      <w:r w:rsidR="000E3462">
        <w:t xml:space="preserve"> je na ovom izvoru planiran</w:t>
      </w:r>
      <w:r w:rsidR="000E3462" w:rsidRPr="001058BA">
        <w:t xml:space="preserve"> iznos od </w:t>
      </w:r>
      <w:r w:rsidR="009879B6">
        <w:t>52</w:t>
      </w:r>
      <w:r w:rsidR="00E92F93">
        <w:t>.</w:t>
      </w:r>
      <w:r w:rsidR="009879B6">
        <w:t>65</w:t>
      </w:r>
      <w:r w:rsidR="00E92F93">
        <w:t>0</w:t>
      </w:r>
      <w:r w:rsidR="000E3462">
        <w:t xml:space="preserve"> EUR-a</w:t>
      </w:r>
      <w:r w:rsidR="000E3462" w:rsidRPr="001058BA">
        <w:t>.</w:t>
      </w:r>
    </w:p>
    <w:p w14:paraId="5283FBFC" w14:textId="77777777" w:rsidR="00FF09D7" w:rsidRPr="001058BA" w:rsidRDefault="00FF09D7" w:rsidP="00FF09D7"/>
    <w:p w14:paraId="2C66DBD3" w14:textId="77777777" w:rsidR="00FF09D7" w:rsidRPr="004B6A56" w:rsidRDefault="00FF09D7" w:rsidP="00FF09D7">
      <w:pPr>
        <w:rPr>
          <w:b/>
        </w:rPr>
      </w:pPr>
      <w:r w:rsidRPr="004B6A56">
        <w:rPr>
          <w:b/>
        </w:rPr>
        <w:t>IZVOR  61 – DONACIJE</w:t>
      </w:r>
    </w:p>
    <w:p w14:paraId="010BE900" w14:textId="77777777" w:rsidR="00FF09D7" w:rsidRPr="001058BA" w:rsidRDefault="00FF09D7" w:rsidP="00FF09D7"/>
    <w:p w14:paraId="40F65315" w14:textId="3BAB9FB7" w:rsidR="00FF09D7" w:rsidRPr="001058BA" w:rsidRDefault="00FF09D7" w:rsidP="00FF09D7">
      <w:r w:rsidRPr="001058BA">
        <w:t xml:space="preserve">Planirani prihodi iz izvora donacija iznose ukupno </w:t>
      </w:r>
      <w:r w:rsidR="009879B6">
        <w:t>4.4</w:t>
      </w:r>
      <w:r w:rsidR="00CA1F53">
        <w:t>00</w:t>
      </w:r>
      <w:r>
        <w:t xml:space="preserve"> EUR-a</w:t>
      </w:r>
      <w:r w:rsidRPr="001058BA">
        <w:t xml:space="preserve">, </w:t>
      </w:r>
      <w:r>
        <w:t xml:space="preserve">a koji se odnose na donacije trgovačkih društava i fizičkih osoba za financiranje rashoda </w:t>
      </w:r>
      <w:r w:rsidRPr="001058BA">
        <w:t>studentsk</w:t>
      </w:r>
      <w:r>
        <w:t>ih</w:t>
      </w:r>
      <w:r w:rsidRPr="001058BA">
        <w:t xml:space="preserve"> projek</w:t>
      </w:r>
      <w:r>
        <w:t>a</w:t>
      </w:r>
      <w:r w:rsidRPr="001058BA">
        <w:t>t</w:t>
      </w:r>
      <w:r>
        <w:t>a</w:t>
      </w:r>
      <w:r w:rsidRPr="001058BA">
        <w:t xml:space="preserve"> OSCON</w:t>
      </w:r>
      <w:r>
        <w:t xml:space="preserve"> i</w:t>
      </w:r>
      <w:r w:rsidR="001748EE">
        <w:t>li moguće donacije fizičkih osoba za određenu namjenu koje ne možemo predvidjeti.</w:t>
      </w:r>
    </w:p>
    <w:p w14:paraId="44DE1B4E" w14:textId="77777777" w:rsidR="00FF09D7" w:rsidRPr="001058BA" w:rsidRDefault="00FF09D7" w:rsidP="00FF09D7"/>
    <w:p w14:paraId="17CA5A00" w14:textId="77777777" w:rsidR="00FF09D7" w:rsidRPr="00DB78B1" w:rsidRDefault="00FF09D7" w:rsidP="00FF09D7">
      <w:pPr>
        <w:rPr>
          <w:b/>
        </w:rPr>
      </w:pPr>
      <w:r w:rsidRPr="00DB78B1">
        <w:rPr>
          <w:b/>
        </w:rPr>
        <w:t>RASHODI I IZDACI</w:t>
      </w:r>
    </w:p>
    <w:p w14:paraId="48EB8399" w14:textId="77777777" w:rsidR="00FF09D7" w:rsidRDefault="00FF09D7" w:rsidP="00FF09D7"/>
    <w:p w14:paraId="0E245702" w14:textId="77777777" w:rsidR="00FF09D7" w:rsidRDefault="00FF09D7" w:rsidP="00FF09D7"/>
    <w:p w14:paraId="232A93B6" w14:textId="32C2181C" w:rsidR="00FF09D7" w:rsidRDefault="00FF09D7" w:rsidP="00FF09D7">
      <w:r>
        <w:t>Ukupni ra</w:t>
      </w:r>
      <w:r w:rsidR="00EE1F1A">
        <w:t>s</w:t>
      </w:r>
      <w:r>
        <w:t>hodi za 202</w:t>
      </w:r>
      <w:r w:rsidR="00774D4D">
        <w:t>5</w:t>
      </w:r>
      <w:r>
        <w:t>. godinu plan</w:t>
      </w:r>
      <w:r w:rsidR="0000207F">
        <w:t xml:space="preserve">irani su u ukupnom iznosu od </w:t>
      </w:r>
      <w:r w:rsidR="001748EE">
        <w:t>6.</w:t>
      </w:r>
      <w:r w:rsidR="009879B6">
        <w:t>261</w:t>
      </w:r>
      <w:r w:rsidR="001748EE">
        <w:t>.</w:t>
      </w:r>
      <w:r w:rsidR="009879B6">
        <w:t>617</w:t>
      </w:r>
      <w:r>
        <w:t xml:space="preserve"> EUR, i to po slijedećim izvorima financiranja:</w:t>
      </w:r>
    </w:p>
    <w:p w14:paraId="3371787F" w14:textId="77777777" w:rsidR="00FF09D7" w:rsidRDefault="00FF09D7" w:rsidP="00FF09D7"/>
    <w:p w14:paraId="23286FA3" w14:textId="77777777" w:rsidR="00FF09D7" w:rsidRDefault="00FF09D7" w:rsidP="00FF09D7"/>
    <w:p w14:paraId="614F8F56" w14:textId="71B5D981" w:rsidR="00FF09D7" w:rsidRDefault="00FF09D7" w:rsidP="00FF09D7">
      <w:r>
        <w:t xml:space="preserve">Izvor 11 – Opći prihodi i primici   u </w:t>
      </w:r>
      <w:r w:rsidR="0000207F">
        <w:t xml:space="preserve">ukupnim iznosu od </w:t>
      </w:r>
      <w:r w:rsidR="00567B5E">
        <w:t>4.</w:t>
      </w:r>
      <w:r w:rsidR="00131A44">
        <w:t>4</w:t>
      </w:r>
      <w:r w:rsidR="009879B6">
        <w:t>32</w:t>
      </w:r>
      <w:r w:rsidR="00131A44">
        <w:t>.</w:t>
      </w:r>
      <w:r w:rsidR="009879B6">
        <w:t xml:space="preserve">783 </w:t>
      </w:r>
      <w:r>
        <w:t>EUR</w:t>
      </w:r>
    </w:p>
    <w:p w14:paraId="443ACF40" w14:textId="6CAC7377" w:rsidR="00FF09D7" w:rsidRDefault="00FF09D7" w:rsidP="00FF09D7">
      <w:r>
        <w:t>Izvor 31 – Vlastiti prihodi  u ukupnom iznosu od 1</w:t>
      </w:r>
      <w:r w:rsidR="004C2C03">
        <w:t>06.000</w:t>
      </w:r>
      <w:r>
        <w:t xml:space="preserve"> EUR</w:t>
      </w:r>
    </w:p>
    <w:p w14:paraId="1F2DB181" w14:textId="132F4FF3" w:rsidR="00FF09D7" w:rsidRDefault="00FF09D7" w:rsidP="00FF09D7">
      <w:r>
        <w:t>Izvor 43 – Namjenski prihodi  u ukupnom iznosu od 1.</w:t>
      </w:r>
      <w:r w:rsidR="001748EE">
        <w:t>4</w:t>
      </w:r>
      <w:r w:rsidR="009879B6">
        <w:t>22</w:t>
      </w:r>
      <w:r w:rsidR="00131A44">
        <w:t>.</w:t>
      </w:r>
      <w:r w:rsidR="009879B6">
        <w:t>70</w:t>
      </w:r>
      <w:r w:rsidR="00131A44">
        <w:t>0</w:t>
      </w:r>
      <w:r>
        <w:t xml:space="preserve"> EUR</w:t>
      </w:r>
    </w:p>
    <w:p w14:paraId="36FF60E1" w14:textId="76A96557" w:rsidR="00FF09D7" w:rsidRDefault="00FF09D7" w:rsidP="00FF09D7">
      <w:r>
        <w:t xml:space="preserve">Izvor 52 – Ostale pomoći u ukupnom iznosu od </w:t>
      </w:r>
      <w:r w:rsidR="00576767">
        <w:t>1</w:t>
      </w:r>
      <w:r w:rsidR="009879B6">
        <w:t>32</w:t>
      </w:r>
      <w:r w:rsidR="00576767">
        <w:t>.</w:t>
      </w:r>
      <w:r w:rsidR="009879B6">
        <w:t>48</w:t>
      </w:r>
      <w:r w:rsidR="00576767">
        <w:t>4</w:t>
      </w:r>
      <w:r w:rsidR="001748EE">
        <w:t xml:space="preserve"> </w:t>
      </w:r>
      <w:r>
        <w:t>EUR</w:t>
      </w:r>
    </w:p>
    <w:p w14:paraId="7E34685C" w14:textId="642C1452" w:rsidR="00FF09D7" w:rsidRDefault="00FF09D7" w:rsidP="00FF09D7">
      <w:r>
        <w:t xml:space="preserve">Izvor 61 – Donacije , u ukupnom iznosu od </w:t>
      </w:r>
      <w:r w:rsidR="009879B6">
        <w:t>4.4</w:t>
      </w:r>
      <w:r w:rsidR="00576767">
        <w:t>00</w:t>
      </w:r>
      <w:r>
        <w:t xml:space="preserve"> EUR</w:t>
      </w:r>
    </w:p>
    <w:p w14:paraId="3B947C58" w14:textId="77777777" w:rsidR="00FF09D7" w:rsidRDefault="00FF09D7" w:rsidP="00FF09D7"/>
    <w:p w14:paraId="4A731D9A" w14:textId="77777777" w:rsidR="00FF09D7" w:rsidRDefault="00FF09D7" w:rsidP="00FF09D7"/>
    <w:p w14:paraId="3D436A6C" w14:textId="75085A62" w:rsidR="00FF09D7" w:rsidRDefault="00FF09D7" w:rsidP="00FF09D7">
      <w:r>
        <w:t xml:space="preserve">Planirani rashodi odnose se na rashode poslovanja  u iznosu od </w:t>
      </w:r>
      <w:r w:rsidR="00F65981">
        <w:t>5.</w:t>
      </w:r>
      <w:r w:rsidR="00D26253">
        <w:t>823</w:t>
      </w:r>
      <w:r w:rsidR="005C7E63">
        <w:t>.</w:t>
      </w:r>
      <w:r w:rsidR="00D26253">
        <w:t>690</w:t>
      </w:r>
      <w:r>
        <w:t xml:space="preserve"> EUR, te na rashode za </w:t>
      </w:r>
      <w:r w:rsidR="0000207F">
        <w:t>nefinancijsk</w:t>
      </w:r>
      <w:r w:rsidR="00F65981">
        <w:t>u</w:t>
      </w:r>
      <w:r w:rsidR="0000207F">
        <w:t xml:space="preserve"> imovin</w:t>
      </w:r>
      <w:r w:rsidR="00F65981">
        <w:t>u u iznosu od</w:t>
      </w:r>
      <w:r w:rsidR="0000207F">
        <w:t xml:space="preserve"> </w:t>
      </w:r>
      <w:r w:rsidR="00D26253">
        <w:t>437</w:t>
      </w:r>
      <w:r w:rsidR="003012D9">
        <w:t>.</w:t>
      </w:r>
      <w:r w:rsidR="00D26253">
        <w:t>927</w:t>
      </w:r>
      <w:r>
        <w:t xml:space="preserve"> EUR. Od rashoda poslovanja, najznačajniji su rashodi za zaposlene u ukupnom iznosu od </w:t>
      </w:r>
      <w:r w:rsidR="00955EB4">
        <w:t>4.0</w:t>
      </w:r>
      <w:r w:rsidR="00D26253">
        <w:t>3</w:t>
      </w:r>
      <w:r w:rsidR="00955EB4">
        <w:t>3.</w:t>
      </w:r>
      <w:r w:rsidR="00D26253">
        <w:t>905</w:t>
      </w:r>
      <w:r>
        <w:t xml:space="preserve"> EUR-a,  materij</w:t>
      </w:r>
      <w:r w:rsidR="000E0F59">
        <w:t>alni rashodi u iznosu od 1.</w:t>
      </w:r>
      <w:r w:rsidR="00C13CFE">
        <w:t>5</w:t>
      </w:r>
      <w:r w:rsidR="00E14C6C">
        <w:t>65.739</w:t>
      </w:r>
      <w:r>
        <w:t xml:space="preserve"> EUR, dok manji dio rashoda poslovanja odlazi na financijske rashode u iznosu od </w:t>
      </w:r>
      <w:r w:rsidR="00507F0B">
        <w:t>4.280</w:t>
      </w:r>
      <w:r>
        <w:t xml:space="preserve"> EUR, naknade građanima i kućanstvima u iznosu od </w:t>
      </w:r>
      <w:r w:rsidR="00507F0B">
        <w:t>4.500</w:t>
      </w:r>
      <w:r>
        <w:t xml:space="preserve"> EUR i ostalih rashoda u iznosu od </w:t>
      </w:r>
      <w:r w:rsidR="006E5280">
        <w:t>6.200</w:t>
      </w:r>
      <w:r>
        <w:t xml:space="preserve"> EUR-a.</w:t>
      </w:r>
    </w:p>
    <w:p w14:paraId="5E568407" w14:textId="5C548B55" w:rsidR="00FF09D7" w:rsidRDefault="00FF09D7" w:rsidP="00FF09D7">
      <w:r>
        <w:t>Rashodi za nabavku nefinancijske imovine odnose se na kupo</w:t>
      </w:r>
      <w:r w:rsidR="0000207F">
        <w:t xml:space="preserve">vinu licenci u iznosu od </w:t>
      </w:r>
      <w:r w:rsidR="006E5280">
        <w:t>1.100</w:t>
      </w:r>
      <w:r w:rsidR="0000207F">
        <w:t xml:space="preserve"> </w:t>
      </w:r>
      <w:r>
        <w:t xml:space="preserve">EUR, ulaganja u postrojenja i opremu u ukupnom iznosu od </w:t>
      </w:r>
      <w:r w:rsidR="00C13CFE">
        <w:t>1</w:t>
      </w:r>
      <w:r w:rsidR="00244296">
        <w:t>45.000</w:t>
      </w:r>
      <w:r>
        <w:t xml:space="preserve"> EUR, te dodatna ulaganja na nefinancijskoj imovini u iznosu od </w:t>
      </w:r>
      <w:r w:rsidR="00244296">
        <w:t>22</w:t>
      </w:r>
      <w:r w:rsidR="00C13CFE">
        <w:t>0</w:t>
      </w:r>
      <w:r>
        <w:t>.</w:t>
      </w:r>
      <w:r w:rsidR="00C13CFE">
        <w:t>000</w:t>
      </w:r>
      <w:r>
        <w:t xml:space="preserve"> EUR.</w:t>
      </w:r>
    </w:p>
    <w:p w14:paraId="3813F5BB" w14:textId="77777777" w:rsidR="00FF09D7" w:rsidRDefault="00FF09D7" w:rsidP="00FF09D7"/>
    <w:p w14:paraId="423FC61A" w14:textId="0C32076B" w:rsidR="00C13CFE" w:rsidRDefault="00FF09D7" w:rsidP="00FF09D7">
      <w:r>
        <w:t>Financijski najznačajniji projekt</w:t>
      </w:r>
      <w:r w:rsidR="00C13CFE">
        <w:t>i</w:t>
      </w:r>
      <w:r>
        <w:t xml:space="preserve"> u 202</w:t>
      </w:r>
      <w:r w:rsidR="00774D4D">
        <w:t>5</w:t>
      </w:r>
      <w:r>
        <w:t xml:space="preserve">. godini je </w:t>
      </w:r>
      <w:r w:rsidR="00C13CFE">
        <w:t xml:space="preserve">popravak i rekonstrukcija krova zgrade Fakulteta, </w:t>
      </w:r>
      <w:r w:rsidR="001C50C6">
        <w:t>dovršenje</w:t>
      </w:r>
      <w:r w:rsidR="00C13CFE">
        <w:t xml:space="preserve"> fakultetskog apartmana, </w:t>
      </w:r>
      <w:r w:rsidR="006A3901">
        <w:t>uređenje dvorane u prizemlju</w:t>
      </w:r>
      <w:r w:rsidR="002451B8">
        <w:t>, te uređenje sanitarnih prostorija .</w:t>
      </w:r>
    </w:p>
    <w:p w14:paraId="6DF94492" w14:textId="77777777" w:rsidR="005A4761" w:rsidRDefault="005A4761" w:rsidP="00FF09D7"/>
    <w:p w14:paraId="401257D4" w14:textId="77777777" w:rsidR="00C13CFE" w:rsidRDefault="00C13CFE" w:rsidP="00FF09D7"/>
    <w:p w14:paraId="05FFD822" w14:textId="77777777" w:rsidR="00FF09D7" w:rsidRDefault="00FF09D7" w:rsidP="00FF09D7">
      <w:pPr>
        <w:rPr>
          <w:b/>
        </w:rPr>
      </w:pPr>
      <w:r w:rsidRPr="00AF596A">
        <w:rPr>
          <w:b/>
        </w:rPr>
        <w:t>PRIJENOS SREDSTAVA IZ PRETHODNE I ODNOS U SLIJEDEĆU GODINU</w:t>
      </w:r>
    </w:p>
    <w:p w14:paraId="4313525D" w14:textId="77777777" w:rsidR="00FF09D7" w:rsidRPr="00AF596A" w:rsidRDefault="00FF09D7" w:rsidP="00FF09D7">
      <w:pPr>
        <w:rPr>
          <w:b/>
        </w:rPr>
      </w:pPr>
    </w:p>
    <w:p w14:paraId="574B9499" w14:textId="66F97DD2" w:rsidR="00FF09D7" w:rsidRDefault="00FF09D7" w:rsidP="00FF09D7">
      <w:r w:rsidRPr="00CA3293">
        <w:t xml:space="preserve">U </w:t>
      </w:r>
      <w:r>
        <w:t>tablici su prikazani donosi iz prošle godine prema izvorima financiranja, kao i odnosi u slijedeću godinu, također prema izvorima financiranja.</w:t>
      </w:r>
    </w:p>
    <w:p w14:paraId="0990911F" w14:textId="77777777" w:rsidR="00FF09D7" w:rsidRPr="00CA3293" w:rsidRDefault="00FF09D7" w:rsidP="00FF09D7"/>
    <w:tbl>
      <w:tblPr>
        <w:tblStyle w:val="Reetkatablice"/>
        <w:tblW w:w="0" w:type="auto"/>
        <w:tblLook w:val="04A0" w:firstRow="1" w:lastRow="0" w:firstColumn="1" w:lastColumn="0" w:noHBand="0" w:noVBand="1"/>
      </w:tblPr>
      <w:tblGrid>
        <w:gridCol w:w="2322"/>
        <w:gridCol w:w="2322"/>
        <w:gridCol w:w="2322"/>
      </w:tblGrid>
      <w:tr w:rsidR="00FF09D7" w14:paraId="52AE85EA" w14:textId="77777777" w:rsidTr="001A7085">
        <w:tc>
          <w:tcPr>
            <w:tcW w:w="2322" w:type="dxa"/>
          </w:tcPr>
          <w:p w14:paraId="0A1BF615" w14:textId="77777777" w:rsidR="00FF09D7" w:rsidRDefault="00FF09D7" w:rsidP="001A7085">
            <w:r>
              <w:t>IZVOR</w:t>
            </w:r>
          </w:p>
        </w:tc>
        <w:tc>
          <w:tcPr>
            <w:tcW w:w="2322" w:type="dxa"/>
          </w:tcPr>
          <w:p w14:paraId="6DBC305C" w14:textId="77777777" w:rsidR="00FF09D7" w:rsidRDefault="00FF09D7" w:rsidP="001A7085">
            <w:r>
              <w:t>DONOS</w:t>
            </w:r>
          </w:p>
        </w:tc>
        <w:tc>
          <w:tcPr>
            <w:tcW w:w="2322" w:type="dxa"/>
          </w:tcPr>
          <w:p w14:paraId="6798241E" w14:textId="77777777" w:rsidR="00FF09D7" w:rsidRDefault="00FF09D7" w:rsidP="001A7085">
            <w:r>
              <w:t>ODNOS</w:t>
            </w:r>
          </w:p>
        </w:tc>
      </w:tr>
      <w:tr w:rsidR="00FF09D7" w14:paraId="2FB5CBFC" w14:textId="77777777" w:rsidTr="001A7085">
        <w:tc>
          <w:tcPr>
            <w:tcW w:w="2322" w:type="dxa"/>
          </w:tcPr>
          <w:p w14:paraId="0C5434E2" w14:textId="3F10D754" w:rsidR="00FF09D7" w:rsidRDefault="00FF09D7" w:rsidP="001A7085">
            <w:r>
              <w:t>11</w:t>
            </w:r>
          </w:p>
        </w:tc>
        <w:tc>
          <w:tcPr>
            <w:tcW w:w="2322" w:type="dxa"/>
          </w:tcPr>
          <w:p w14:paraId="157D7189" w14:textId="042176D4" w:rsidR="00FF09D7" w:rsidRDefault="007D7BCD" w:rsidP="001A7085">
            <w:r>
              <w:t>0</w:t>
            </w:r>
          </w:p>
        </w:tc>
        <w:tc>
          <w:tcPr>
            <w:tcW w:w="2322" w:type="dxa"/>
          </w:tcPr>
          <w:p w14:paraId="0879476D" w14:textId="1F3FD168" w:rsidR="00FF09D7" w:rsidRDefault="007D7BCD" w:rsidP="001A7085">
            <w:r>
              <w:t>0</w:t>
            </w:r>
          </w:p>
        </w:tc>
      </w:tr>
      <w:tr w:rsidR="00FF09D7" w14:paraId="44221B3B" w14:textId="77777777" w:rsidTr="001A7085">
        <w:tc>
          <w:tcPr>
            <w:tcW w:w="2322" w:type="dxa"/>
          </w:tcPr>
          <w:p w14:paraId="6C5F3C8A" w14:textId="77777777" w:rsidR="00FF09D7" w:rsidRDefault="00FF09D7" w:rsidP="001A7085">
            <w:r>
              <w:t>31</w:t>
            </w:r>
          </w:p>
        </w:tc>
        <w:tc>
          <w:tcPr>
            <w:tcW w:w="2322" w:type="dxa"/>
          </w:tcPr>
          <w:p w14:paraId="1CA26A9A" w14:textId="674C92D5" w:rsidR="00FF09D7" w:rsidRDefault="00D26253" w:rsidP="001A7085">
            <w:r>
              <w:t>38</w:t>
            </w:r>
            <w:r w:rsidR="006A3901">
              <w:t>.</w:t>
            </w:r>
            <w:r>
              <w:t>0</w:t>
            </w:r>
            <w:r w:rsidR="006A3901">
              <w:t>00</w:t>
            </w:r>
          </w:p>
        </w:tc>
        <w:tc>
          <w:tcPr>
            <w:tcW w:w="2322" w:type="dxa"/>
          </w:tcPr>
          <w:p w14:paraId="1DE06226" w14:textId="0E76CF69" w:rsidR="00FF09D7" w:rsidRDefault="00D26253" w:rsidP="001A7085">
            <w:r>
              <w:t>11</w:t>
            </w:r>
            <w:r w:rsidR="007D7BCD">
              <w:t>.</w:t>
            </w:r>
            <w:r w:rsidR="00365B1B">
              <w:t>5</w:t>
            </w:r>
            <w:r>
              <w:t>0</w:t>
            </w:r>
            <w:r w:rsidR="00365B1B">
              <w:t>0</w:t>
            </w:r>
          </w:p>
        </w:tc>
      </w:tr>
      <w:tr w:rsidR="00FF09D7" w14:paraId="632B3CEE" w14:textId="77777777" w:rsidTr="001A7085">
        <w:tc>
          <w:tcPr>
            <w:tcW w:w="2322" w:type="dxa"/>
          </w:tcPr>
          <w:p w14:paraId="6B7B6E96" w14:textId="77777777" w:rsidR="00FF09D7" w:rsidRDefault="00FF09D7" w:rsidP="001A7085">
            <w:r>
              <w:t>43</w:t>
            </w:r>
          </w:p>
        </w:tc>
        <w:tc>
          <w:tcPr>
            <w:tcW w:w="2322" w:type="dxa"/>
          </w:tcPr>
          <w:p w14:paraId="794E6D9F" w14:textId="5EE21528" w:rsidR="00FF09D7" w:rsidRDefault="00365B1B" w:rsidP="001A7085">
            <w:r>
              <w:t>1</w:t>
            </w:r>
            <w:r w:rsidR="00D26253">
              <w:t>91</w:t>
            </w:r>
            <w:r w:rsidR="007D7BCD">
              <w:t>.</w:t>
            </w:r>
            <w:r w:rsidR="00D26253">
              <w:t>2</w:t>
            </w:r>
            <w:r w:rsidR="007D7BCD">
              <w:t>00</w:t>
            </w:r>
          </w:p>
        </w:tc>
        <w:tc>
          <w:tcPr>
            <w:tcW w:w="2322" w:type="dxa"/>
          </w:tcPr>
          <w:p w14:paraId="50D053CA" w14:textId="1C5DB200" w:rsidR="00FF09D7" w:rsidRDefault="00D26253" w:rsidP="00CA32D0">
            <w:r>
              <w:t>60</w:t>
            </w:r>
            <w:r w:rsidR="007D7BCD">
              <w:t>.000</w:t>
            </w:r>
          </w:p>
        </w:tc>
      </w:tr>
      <w:tr w:rsidR="00FF09D7" w14:paraId="5353B757" w14:textId="77777777" w:rsidTr="001A7085">
        <w:tc>
          <w:tcPr>
            <w:tcW w:w="2322" w:type="dxa"/>
          </w:tcPr>
          <w:p w14:paraId="16336B61" w14:textId="678738EC" w:rsidR="00FF09D7" w:rsidRDefault="007D7BCD" w:rsidP="001A7085">
            <w:r>
              <w:t>52</w:t>
            </w:r>
          </w:p>
        </w:tc>
        <w:tc>
          <w:tcPr>
            <w:tcW w:w="2322" w:type="dxa"/>
          </w:tcPr>
          <w:p w14:paraId="4DAB20A9" w14:textId="5731A2EB" w:rsidR="00FF09D7" w:rsidRDefault="00D26253" w:rsidP="001A7085">
            <w:r>
              <w:t>10</w:t>
            </w:r>
            <w:r w:rsidR="007D7BCD">
              <w:t>.000</w:t>
            </w:r>
          </w:p>
        </w:tc>
        <w:tc>
          <w:tcPr>
            <w:tcW w:w="2322" w:type="dxa"/>
          </w:tcPr>
          <w:p w14:paraId="3910C49E" w14:textId="1AA66891" w:rsidR="00FF09D7" w:rsidRDefault="00D26253" w:rsidP="001A7085">
            <w:r>
              <w:t>5.350</w:t>
            </w:r>
          </w:p>
        </w:tc>
      </w:tr>
      <w:tr w:rsidR="00FF09D7" w14:paraId="3D79F750" w14:textId="77777777" w:rsidTr="001A7085">
        <w:tc>
          <w:tcPr>
            <w:tcW w:w="2322" w:type="dxa"/>
          </w:tcPr>
          <w:p w14:paraId="4DAD6B8E" w14:textId="09AFC7F0" w:rsidR="00FF09D7" w:rsidRDefault="007D7BCD" w:rsidP="001A7085">
            <w:r>
              <w:t>61</w:t>
            </w:r>
          </w:p>
        </w:tc>
        <w:tc>
          <w:tcPr>
            <w:tcW w:w="2322" w:type="dxa"/>
          </w:tcPr>
          <w:p w14:paraId="11041675" w14:textId="5C5BAC06" w:rsidR="00FF09D7" w:rsidRDefault="007D7BCD" w:rsidP="001A7085">
            <w:r>
              <w:t>900</w:t>
            </w:r>
          </w:p>
        </w:tc>
        <w:tc>
          <w:tcPr>
            <w:tcW w:w="2322" w:type="dxa"/>
          </w:tcPr>
          <w:p w14:paraId="64DE413F" w14:textId="7A99ABF1" w:rsidR="00FF09D7" w:rsidRDefault="007D7BCD" w:rsidP="001A7085">
            <w:r>
              <w:t>0</w:t>
            </w:r>
          </w:p>
        </w:tc>
      </w:tr>
      <w:tr w:rsidR="00FF09D7" w14:paraId="0405504E" w14:textId="77777777" w:rsidTr="00B81B9E">
        <w:trPr>
          <w:trHeight w:val="134"/>
        </w:trPr>
        <w:tc>
          <w:tcPr>
            <w:tcW w:w="2322" w:type="dxa"/>
          </w:tcPr>
          <w:p w14:paraId="0B118159" w14:textId="77777777" w:rsidR="00FF09D7" w:rsidRDefault="00FF09D7" w:rsidP="001A7085">
            <w:r>
              <w:t>SVEUKUPNO</w:t>
            </w:r>
          </w:p>
        </w:tc>
        <w:tc>
          <w:tcPr>
            <w:tcW w:w="2322" w:type="dxa"/>
          </w:tcPr>
          <w:p w14:paraId="399BD92C" w14:textId="73D3B6C4" w:rsidR="00FF09D7" w:rsidRDefault="00B81B9E" w:rsidP="001A7085">
            <w:r>
              <w:t>24</w:t>
            </w:r>
            <w:r w:rsidR="00D26253">
              <w:t>0</w:t>
            </w:r>
            <w:r>
              <w:t>.100</w:t>
            </w:r>
          </w:p>
        </w:tc>
        <w:tc>
          <w:tcPr>
            <w:tcW w:w="2322" w:type="dxa"/>
          </w:tcPr>
          <w:p w14:paraId="2AE73C69" w14:textId="64A74D30" w:rsidR="00FF09D7" w:rsidRDefault="00365B1B" w:rsidP="001A7085">
            <w:r>
              <w:t>76.850</w:t>
            </w:r>
          </w:p>
        </w:tc>
      </w:tr>
    </w:tbl>
    <w:p w14:paraId="5AE670BD" w14:textId="77777777" w:rsidR="00FF09D7" w:rsidRDefault="00FF09D7" w:rsidP="00FF09D7"/>
    <w:p w14:paraId="557FE989" w14:textId="77777777" w:rsidR="00FF09D7" w:rsidRDefault="00FF09D7" w:rsidP="00FF09D7"/>
    <w:p w14:paraId="545F2659" w14:textId="242E0E82" w:rsidR="00FF09D7" w:rsidRDefault="00FF09D7" w:rsidP="00FF09D7">
      <w:r>
        <w:t xml:space="preserve">Iz izvora 31 – Vlastiti prihodi, iz prošle godine planira se donijeti ukupan iznos od </w:t>
      </w:r>
      <w:r w:rsidR="00D26253">
        <w:t>38</w:t>
      </w:r>
      <w:r w:rsidR="007D7BCD">
        <w:t>.</w:t>
      </w:r>
      <w:r w:rsidR="00D26253">
        <w:t>0</w:t>
      </w:r>
      <w:r w:rsidR="007D7BCD">
        <w:t>00</w:t>
      </w:r>
      <w:r>
        <w:t xml:space="preserve"> EUR-a</w:t>
      </w:r>
      <w:r w:rsidR="007D7BCD">
        <w:t xml:space="preserve">. </w:t>
      </w:r>
      <w:r w:rsidRPr="00CA3293">
        <w:t xml:space="preserve">U </w:t>
      </w:r>
      <w:r>
        <w:t xml:space="preserve">sklopu ovog izvora ostvaruju se  prihodi od usluga vještačenja iz DNA laboratorija i laboratorija medicinske genetike, te </w:t>
      </w:r>
      <w:r w:rsidR="007D7BCD">
        <w:t xml:space="preserve">nostrificiranja diploma i </w:t>
      </w:r>
      <w:r>
        <w:t xml:space="preserve">izbora u zvanja. Prijenos u slijedeću godinu iz ovog izvora nastaje zbog naplate ovih prihoda  krajem godine, pa se isti ne stignu potrošiti u tekućoj godini, već se prenose u slijedeću, i </w:t>
      </w:r>
      <w:r w:rsidR="00813AFD">
        <w:t xml:space="preserve">u </w:t>
      </w:r>
      <w:r>
        <w:t xml:space="preserve">toj godini se koriste za pokriće tekućih  rashoda poslovanja. </w:t>
      </w:r>
    </w:p>
    <w:p w14:paraId="614F0D61" w14:textId="77777777" w:rsidR="00FF09D7" w:rsidRDefault="00FF09D7" w:rsidP="00FF09D7"/>
    <w:p w14:paraId="30C13568" w14:textId="75B69E0D" w:rsidR="00FF09D7" w:rsidRDefault="00FF09D7" w:rsidP="00FF09D7">
      <w:r>
        <w:t>Zbog istog razloga planiran je i odnos u slijedeću 202</w:t>
      </w:r>
      <w:r w:rsidR="001C50C6">
        <w:t>6</w:t>
      </w:r>
      <w:r>
        <w:t>.</w:t>
      </w:r>
      <w:r w:rsidR="00813AFD">
        <w:t xml:space="preserve"> </w:t>
      </w:r>
      <w:r>
        <w:t>godinu iz ovog izvora.</w:t>
      </w:r>
    </w:p>
    <w:p w14:paraId="7F2A9139" w14:textId="77777777" w:rsidR="00FF09D7" w:rsidRDefault="00FF09D7" w:rsidP="00FF09D7"/>
    <w:p w14:paraId="774776FA" w14:textId="78DE412A" w:rsidR="001848F8" w:rsidRPr="001058BA" w:rsidRDefault="00FF09D7" w:rsidP="001848F8">
      <w:r>
        <w:t>Iz izvora 43- Namjenski prihodi i primici planiran je donos u iznosu od</w:t>
      </w:r>
      <w:r w:rsidR="00D26253">
        <w:t xml:space="preserve"> </w:t>
      </w:r>
      <w:r w:rsidR="002F0F9D">
        <w:t>1</w:t>
      </w:r>
      <w:r w:rsidR="00D26253">
        <w:t>91</w:t>
      </w:r>
      <w:r w:rsidR="000256EB">
        <w:t>.</w:t>
      </w:r>
      <w:r w:rsidR="00D26253">
        <w:t>2</w:t>
      </w:r>
      <w:r w:rsidR="000256EB">
        <w:t xml:space="preserve">00 </w:t>
      </w:r>
      <w:r>
        <w:t xml:space="preserve"> EUR.  Ovaj iznos odnosi se na uplate</w:t>
      </w:r>
      <w:r w:rsidR="001848F8">
        <w:t xml:space="preserve"> </w:t>
      </w:r>
      <w:r w:rsidR="001848F8" w:rsidRPr="001058BA">
        <w:t xml:space="preserve">školarina za </w:t>
      </w:r>
      <w:r w:rsidR="001848F8">
        <w:t xml:space="preserve">sveučilišni </w:t>
      </w:r>
      <w:r w:rsidR="001848F8" w:rsidRPr="001058BA">
        <w:t>pr</w:t>
      </w:r>
      <w:r w:rsidR="001848F8">
        <w:t>ije</w:t>
      </w:r>
      <w:r w:rsidR="001848F8" w:rsidRPr="001058BA">
        <w:t xml:space="preserve">diplomski studij </w:t>
      </w:r>
      <w:r w:rsidR="00D930B7">
        <w:t>M</w:t>
      </w:r>
      <w:r w:rsidR="001848F8" w:rsidRPr="001058BA">
        <w:t>edicinsko laboratorijske dijagnostike,</w:t>
      </w:r>
      <w:r w:rsidR="001848F8">
        <w:t xml:space="preserve"> sveučilišni </w:t>
      </w:r>
      <w:r w:rsidR="001848F8" w:rsidRPr="001058BA">
        <w:t xml:space="preserve">diplomski studij </w:t>
      </w:r>
      <w:r w:rsidR="00D930B7">
        <w:t>M</w:t>
      </w:r>
      <w:r w:rsidR="001848F8" w:rsidRPr="001058BA">
        <w:t xml:space="preserve">edicinsko laboratorijske </w:t>
      </w:r>
      <w:r w:rsidR="001848F8">
        <w:t>dijagnostike,</w:t>
      </w:r>
      <w:r w:rsidR="001848F8" w:rsidRPr="001058BA">
        <w:t xml:space="preserve"> </w:t>
      </w:r>
      <w:r w:rsidR="001848F8">
        <w:t>sveučilišni</w:t>
      </w:r>
      <w:r w:rsidR="001848F8" w:rsidRPr="001058BA">
        <w:t xml:space="preserve"> </w:t>
      </w:r>
      <w:r w:rsidR="001848F8">
        <w:t xml:space="preserve"> </w:t>
      </w:r>
      <w:r w:rsidR="001848F8" w:rsidRPr="001058BA">
        <w:t>integrirani pr</w:t>
      </w:r>
      <w:r w:rsidR="001848F8">
        <w:t>ije</w:t>
      </w:r>
      <w:r w:rsidR="001848F8" w:rsidRPr="001058BA">
        <w:t xml:space="preserve">diplomski i diplomski studij </w:t>
      </w:r>
      <w:r w:rsidR="00D930B7">
        <w:t>M</w:t>
      </w:r>
      <w:r w:rsidR="001848F8" w:rsidRPr="001058BA">
        <w:t xml:space="preserve">edicine, prihode od školarina za </w:t>
      </w:r>
      <w:r w:rsidR="001848F8">
        <w:t xml:space="preserve">sveučilišni </w:t>
      </w:r>
      <w:r w:rsidR="001848F8" w:rsidRPr="001058BA">
        <w:t>integrirani pr</w:t>
      </w:r>
      <w:r w:rsidR="001848F8">
        <w:t>ij</w:t>
      </w:r>
      <w:r w:rsidR="001848F8" w:rsidRPr="001058BA">
        <w:t>ediplomski i diplomski studij Medicine na njemačkom jeziku, školarine za doktorski studij Biomedicine i zdravstva</w:t>
      </w:r>
      <w:r w:rsidR="001848F8">
        <w:t>, te, od ove godine, i  školarine za sveučilišne specijalističke studije .</w:t>
      </w:r>
    </w:p>
    <w:p w14:paraId="6C104563" w14:textId="0BAC449E" w:rsidR="001848F8" w:rsidRDefault="001848F8" w:rsidP="00FF09D7"/>
    <w:p w14:paraId="69FC2D33" w14:textId="77777777" w:rsidR="001848F8" w:rsidRDefault="001848F8" w:rsidP="00FF09D7"/>
    <w:p w14:paraId="5826F1A7" w14:textId="77777777" w:rsidR="001848F8" w:rsidRDefault="001848F8" w:rsidP="00FF09D7"/>
    <w:p w14:paraId="1F122BA0" w14:textId="10098A86" w:rsidR="00FF09D7" w:rsidRDefault="00FF09D7" w:rsidP="00FF09D7">
      <w:r>
        <w:lastRenderedPageBreak/>
        <w:t>Ovi prihodi ostvaruju se u razdoblju od listopada do prosinca tekuće godine, te se ne stignu potrošiti sva sredstva, već se prenose u slijedeću godi</w:t>
      </w:r>
      <w:r w:rsidR="00813AFD">
        <w:t>nu,</w:t>
      </w:r>
      <w:r w:rsidR="00685A81" w:rsidRPr="00685A81">
        <w:t xml:space="preserve"> a koriste se u narednom razdoblju za pokriće materijalnih troškova izvođenja studija, te plaćanje intelektualnih usluga vezanih za izvođenje studija</w:t>
      </w:r>
      <w:r w:rsidR="00685A81">
        <w:t xml:space="preserve"> , </w:t>
      </w:r>
      <w:r>
        <w:t>za rashode za</w:t>
      </w:r>
      <w:r w:rsidR="00813AFD">
        <w:t xml:space="preserve"> nabavku nefinancijske imovine, kao i u dodatna ulaganja na građevinskim objektima.</w:t>
      </w:r>
    </w:p>
    <w:p w14:paraId="7A4D51EC" w14:textId="77777777" w:rsidR="00685A81" w:rsidRDefault="00685A81" w:rsidP="00FF09D7"/>
    <w:p w14:paraId="4D27819E" w14:textId="4630E943" w:rsidR="00FF09D7" w:rsidRDefault="00FF09D7" w:rsidP="00FF09D7">
      <w:r>
        <w:t>Zbog istog razloga planiran je i odnos u slijedeću 202</w:t>
      </w:r>
      <w:r w:rsidR="001C50C6">
        <w:t>6</w:t>
      </w:r>
      <w:r>
        <w:t>.</w:t>
      </w:r>
      <w:r w:rsidR="00813AFD">
        <w:t xml:space="preserve"> </w:t>
      </w:r>
      <w:r>
        <w:t>godinu iz ovog izvora.</w:t>
      </w:r>
    </w:p>
    <w:p w14:paraId="7FA463C9" w14:textId="77777777" w:rsidR="00FF09D7" w:rsidRDefault="00FF09D7" w:rsidP="00FF09D7"/>
    <w:p w14:paraId="3039A349" w14:textId="77777777" w:rsidR="008336A3" w:rsidRDefault="008336A3" w:rsidP="00FF09D7"/>
    <w:p w14:paraId="2E39FC0A" w14:textId="77777777" w:rsidR="00FF09D7" w:rsidRDefault="00FF09D7" w:rsidP="00FF09D7">
      <w:pPr>
        <w:rPr>
          <w:b/>
        </w:rPr>
      </w:pPr>
      <w:r w:rsidRPr="00AF596A">
        <w:rPr>
          <w:b/>
        </w:rPr>
        <w:t>STANJE UKUPNIH I DOSPJELIH OBVEZA</w:t>
      </w:r>
    </w:p>
    <w:p w14:paraId="0186E148" w14:textId="77777777" w:rsidR="00FF09D7" w:rsidRDefault="00FF09D7" w:rsidP="00FF09D7">
      <w:pPr>
        <w:rPr>
          <w:b/>
        </w:rPr>
      </w:pPr>
    </w:p>
    <w:p w14:paraId="2E7D2BDF" w14:textId="00EDE62B" w:rsidR="00FF09D7" w:rsidRDefault="00FF09D7" w:rsidP="00FF09D7">
      <w:r w:rsidRPr="008204D3">
        <w:t xml:space="preserve">Stanje ukupnih </w:t>
      </w:r>
      <w:r>
        <w:t xml:space="preserve">i dospjelih </w:t>
      </w:r>
      <w:r w:rsidRPr="008204D3">
        <w:t>obveza</w:t>
      </w:r>
      <w:r>
        <w:t xml:space="preserve"> sa stanjem na dan 31.12.202</w:t>
      </w:r>
      <w:r w:rsidR="00915809">
        <w:t>3</w:t>
      </w:r>
      <w:r>
        <w:t>., odnosno na dan 30.06.202</w:t>
      </w:r>
      <w:r w:rsidR="00665623">
        <w:t>4</w:t>
      </w:r>
      <w:r>
        <w:t>. godine prikazan je u slijedećoj tablici:</w:t>
      </w:r>
    </w:p>
    <w:p w14:paraId="1308E401" w14:textId="77777777" w:rsidR="00FF09D7" w:rsidRDefault="00FF09D7" w:rsidP="00FF09D7"/>
    <w:tbl>
      <w:tblPr>
        <w:tblStyle w:val="Reetkatablice"/>
        <w:tblW w:w="0" w:type="auto"/>
        <w:tblLook w:val="04A0" w:firstRow="1" w:lastRow="0" w:firstColumn="1" w:lastColumn="0" w:noHBand="0" w:noVBand="1"/>
      </w:tblPr>
      <w:tblGrid>
        <w:gridCol w:w="1926"/>
        <w:gridCol w:w="3449"/>
        <w:gridCol w:w="3687"/>
      </w:tblGrid>
      <w:tr w:rsidR="00FF09D7" w14:paraId="5E083F79" w14:textId="77777777" w:rsidTr="001A7085">
        <w:tc>
          <w:tcPr>
            <w:tcW w:w="1951" w:type="dxa"/>
          </w:tcPr>
          <w:p w14:paraId="571FBF1C" w14:textId="77777777" w:rsidR="00FF09D7" w:rsidRDefault="00FF09D7" w:rsidP="001A7085"/>
        </w:tc>
        <w:tc>
          <w:tcPr>
            <w:tcW w:w="3544" w:type="dxa"/>
          </w:tcPr>
          <w:p w14:paraId="77F374F7" w14:textId="41F842EF" w:rsidR="00FF09D7" w:rsidRDefault="00FF09D7" w:rsidP="001A7085">
            <w:r>
              <w:t>Stanje obveza na dan 31.12.202</w:t>
            </w:r>
            <w:r w:rsidR="00141CC1">
              <w:t>3</w:t>
            </w:r>
            <w:r>
              <w:t>.</w:t>
            </w:r>
          </w:p>
        </w:tc>
        <w:tc>
          <w:tcPr>
            <w:tcW w:w="3793" w:type="dxa"/>
          </w:tcPr>
          <w:p w14:paraId="51DB1D84" w14:textId="787E21EF" w:rsidR="00FF09D7" w:rsidRDefault="00FF09D7" w:rsidP="001A7085">
            <w:r>
              <w:t>Stanje obveza na dan 30.06.202</w:t>
            </w:r>
            <w:r w:rsidR="00665623">
              <w:t>4</w:t>
            </w:r>
            <w:r>
              <w:t>.</w:t>
            </w:r>
          </w:p>
        </w:tc>
      </w:tr>
      <w:tr w:rsidR="00FF09D7" w14:paraId="7E0AD091" w14:textId="77777777" w:rsidTr="001A7085">
        <w:tc>
          <w:tcPr>
            <w:tcW w:w="1951" w:type="dxa"/>
          </w:tcPr>
          <w:p w14:paraId="7D77DBB8" w14:textId="77777777" w:rsidR="00FF09D7" w:rsidRDefault="00FF09D7" w:rsidP="001A7085">
            <w:r>
              <w:t>UKUPNE OBVEZE</w:t>
            </w:r>
          </w:p>
        </w:tc>
        <w:tc>
          <w:tcPr>
            <w:tcW w:w="3544" w:type="dxa"/>
          </w:tcPr>
          <w:p w14:paraId="1A81FD38" w14:textId="1A3C28B5" w:rsidR="00FF09D7" w:rsidRPr="009A549D" w:rsidRDefault="00624550" w:rsidP="001A7085">
            <w:pPr>
              <w:jc w:val="center"/>
            </w:pPr>
            <w:r>
              <w:t>4</w:t>
            </w:r>
            <w:r w:rsidR="002F0F9D">
              <w:t>81.487</w:t>
            </w:r>
            <w:r w:rsidR="00EA7253">
              <w:t xml:space="preserve"> EUR</w:t>
            </w:r>
          </w:p>
        </w:tc>
        <w:tc>
          <w:tcPr>
            <w:tcW w:w="3793" w:type="dxa"/>
          </w:tcPr>
          <w:p w14:paraId="20CD0ACC" w14:textId="6859C088" w:rsidR="00FF09D7" w:rsidRDefault="00EA7253" w:rsidP="001A7085">
            <w:pPr>
              <w:jc w:val="center"/>
            </w:pPr>
            <w:r>
              <w:t>5</w:t>
            </w:r>
            <w:r w:rsidR="002F0F9D">
              <w:t>23</w:t>
            </w:r>
            <w:r>
              <w:t>.0</w:t>
            </w:r>
            <w:r w:rsidR="002F0F9D">
              <w:t>33</w:t>
            </w:r>
            <w:r>
              <w:t xml:space="preserve"> EUR</w:t>
            </w:r>
          </w:p>
          <w:p w14:paraId="7523EB67" w14:textId="50C14DDC" w:rsidR="00FF09D7" w:rsidRDefault="00FF09D7" w:rsidP="001A7085">
            <w:pPr>
              <w:jc w:val="center"/>
            </w:pPr>
          </w:p>
        </w:tc>
      </w:tr>
      <w:tr w:rsidR="00FF09D7" w14:paraId="09947111" w14:textId="77777777" w:rsidTr="001A7085">
        <w:tc>
          <w:tcPr>
            <w:tcW w:w="1951" w:type="dxa"/>
          </w:tcPr>
          <w:p w14:paraId="7FF03824" w14:textId="77777777" w:rsidR="00FF09D7" w:rsidRDefault="00FF09D7" w:rsidP="001A7085">
            <w:r>
              <w:t>DOSPJELE OBVEZE</w:t>
            </w:r>
          </w:p>
        </w:tc>
        <w:tc>
          <w:tcPr>
            <w:tcW w:w="3544" w:type="dxa"/>
          </w:tcPr>
          <w:p w14:paraId="3DA6CBD1" w14:textId="77777777" w:rsidR="00FF09D7" w:rsidRDefault="00FF09D7" w:rsidP="001A7085">
            <w:pPr>
              <w:jc w:val="center"/>
            </w:pPr>
            <w:r>
              <w:t>0,00</w:t>
            </w:r>
          </w:p>
        </w:tc>
        <w:tc>
          <w:tcPr>
            <w:tcW w:w="3793" w:type="dxa"/>
          </w:tcPr>
          <w:p w14:paraId="42E5EBD0" w14:textId="77777777" w:rsidR="00FF09D7" w:rsidRDefault="00FF09D7" w:rsidP="001A7085">
            <w:pPr>
              <w:jc w:val="center"/>
            </w:pPr>
            <w:r>
              <w:t>0,00</w:t>
            </w:r>
          </w:p>
        </w:tc>
      </w:tr>
    </w:tbl>
    <w:p w14:paraId="1EC25F3C" w14:textId="77777777" w:rsidR="00FF09D7" w:rsidRPr="008204D3" w:rsidRDefault="00FF09D7" w:rsidP="00FF09D7"/>
    <w:p w14:paraId="36C99BE1" w14:textId="77777777" w:rsidR="00DB7473" w:rsidRDefault="00DB7473" w:rsidP="00FF09D7"/>
    <w:p w14:paraId="6F6DE525" w14:textId="77777777" w:rsidR="004B6A56" w:rsidRDefault="004B6A56" w:rsidP="00FF09D7"/>
    <w:p w14:paraId="65FCB78C" w14:textId="77777777" w:rsidR="004B6A56" w:rsidRDefault="004B6A56" w:rsidP="00FF09D7"/>
    <w:p w14:paraId="2B1A607C" w14:textId="77777777" w:rsidR="004B6A56" w:rsidRDefault="004B6A56" w:rsidP="00FF09D7"/>
    <w:p w14:paraId="2DF43ABB" w14:textId="77777777" w:rsidR="00DB7473" w:rsidRDefault="00DB7473" w:rsidP="00DB7473">
      <w:pPr>
        <w:jc w:val="center"/>
      </w:pPr>
      <w:r>
        <w:t xml:space="preserve">                                                                                         DEKAN</w:t>
      </w:r>
    </w:p>
    <w:p w14:paraId="0D7DEEEE" w14:textId="77777777" w:rsidR="00DB7473" w:rsidRDefault="00DB7473" w:rsidP="00DB7473">
      <w:pPr>
        <w:jc w:val="center"/>
      </w:pPr>
      <w:r>
        <w:t xml:space="preserve">                                                               </w:t>
      </w:r>
    </w:p>
    <w:p w14:paraId="3343CF84" w14:textId="77777777" w:rsidR="00DB7473" w:rsidRDefault="00DB7473" w:rsidP="00DB7473">
      <w:pPr>
        <w:jc w:val="center"/>
      </w:pPr>
      <w:r>
        <w:t xml:space="preserve">                                                                                        prof.dr.sc. Ivica M</w:t>
      </w:r>
      <w:r w:rsidR="007E2FCA">
        <w:t>i</w:t>
      </w:r>
      <w:r>
        <w:t>haljević</w:t>
      </w:r>
    </w:p>
    <w:p w14:paraId="4B7CD77D" w14:textId="77777777" w:rsidR="00FF09D7" w:rsidRDefault="00FF09D7" w:rsidP="00FF09D7"/>
    <w:p w14:paraId="0F63BCC4" w14:textId="77777777" w:rsidR="00D8283B" w:rsidRDefault="00D8283B"/>
    <w:sectPr w:rsidR="00D82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Arial"/>
    <w:charset w:val="00"/>
    <w:family w:val="swiss"/>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210AF"/>
    <w:multiLevelType w:val="hybridMultilevel"/>
    <w:tmpl w:val="FF4CBD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605F587E"/>
    <w:multiLevelType w:val="hybridMultilevel"/>
    <w:tmpl w:val="4AAC174C"/>
    <w:lvl w:ilvl="0" w:tplc="041A000F">
      <w:start w:val="6"/>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15:restartNumberingAfterBreak="0">
    <w:nsid w:val="60FA339A"/>
    <w:multiLevelType w:val="hybridMultilevel"/>
    <w:tmpl w:val="FF4CBD3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9D7"/>
    <w:rsid w:val="0000207F"/>
    <w:rsid w:val="000256EB"/>
    <w:rsid w:val="0005700B"/>
    <w:rsid w:val="000822AA"/>
    <w:rsid w:val="000A697A"/>
    <w:rsid w:val="000B5F9E"/>
    <w:rsid w:val="000C011B"/>
    <w:rsid w:val="000E0F59"/>
    <w:rsid w:val="000E28D9"/>
    <w:rsid w:val="000E3462"/>
    <w:rsid w:val="000E5CB5"/>
    <w:rsid w:val="00107774"/>
    <w:rsid w:val="00115F37"/>
    <w:rsid w:val="00131A44"/>
    <w:rsid w:val="00141CC1"/>
    <w:rsid w:val="00153F83"/>
    <w:rsid w:val="001748EE"/>
    <w:rsid w:val="001848F8"/>
    <w:rsid w:val="001A4DB7"/>
    <w:rsid w:val="001A7F31"/>
    <w:rsid w:val="001B7AF6"/>
    <w:rsid w:val="001C50C6"/>
    <w:rsid w:val="002002D1"/>
    <w:rsid w:val="00226677"/>
    <w:rsid w:val="00234C48"/>
    <w:rsid w:val="00244296"/>
    <w:rsid w:val="002451B8"/>
    <w:rsid w:val="00252063"/>
    <w:rsid w:val="002B77A5"/>
    <w:rsid w:val="002C03A8"/>
    <w:rsid w:val="002F0F9D"/>
    <w:rsid w:val="002F32C2"/>
    <w:rsid w:val="00300722"/>
    <w:rsid w:val="003012D9"/>
    <w:rsid w:val="0031654D"/>
    <w:rsid w:val="00334820"/>
    <w:rsid w:val="0033773C"/>
    <w:rsid w:val="00365B1B"/>
    <w:rsid w:val="00367F2C"/>
    <w:rsid w:val="003A7BE5"/>
    <w:rsid w:val="003B2F13"/>
    <w:rsid w:val="003C4CD1"/>
    <w:rsid w:val="003D2F62"/>
    <w:rsid w:val="00440F4D"/>
    <w:rsid w:val="00466E62"/>
    <w:rsid w:val="004724DF"/>
    <w:rsid w:val="004B6A56"/>
    <w:rsid w:val="004C2C03"/>
    <w:rsid w:val="004E4721"/>
    <w:rsid w:val="00507F0B"/>
    <w:rsid w:val="00567B5E"/>
    <w:rsid w:val="00570504"/>
    <w:rsid w:val="00576767"/>
    <w:rsid w:val="0057790D"/>
    <w:rsid w:val="00593BE5"/>
    <w:rsid w:val="00596C47"/>
    <w:rsid w:val="005A4761"/>
    <w:rsid w:val="005C7E63"/>
    <w:rsid w:val="005D7375"/>
    <w:rsid w:val="00614F2F"/>
    <w:rsid w:val="00624550"/>
    <w:rsid w:val="00633565"/>
    <w:rsid w:val="006371BF"/>
    <w:rsid w:val="0064782E"/>
    <w:rsid w:val="00657617"/>
    <w:rsid w:val="00665623"/>
    <w:rsid w:val="0068460A"/>
    <w:rsid w:val="00685A81"/>
    <w:rsid w:val="006A3901"/>
    <w:rsid w:val="006B1F76"/>
    <w:rsid w:val="006C7D10"/>
    <w:rsid w:val="006D49DC"/>
    <w:rsid w:val="006E5280"/>
    <w:rsid w:val="006F5A04"/>
    <w:rsid w:val="0076656B"/>
    <w:rsid w:val="00774D4D"/>
    <w:rsid w:val="00787413"/>
    <w:rsid w:val="007B6805"/>
    <w:rsid w:val="007D7BCD"/>
    <w:rsid w:val="007E2FCA"/>
    <w:rsid w:val="007E7D5C"/>
    <w:rsid w:val="007F766E"/>
    <w:rsid w:val="00813AFD"/>
    <w:rsid w:val="008336A3"/>
    <w:rsid w:val="00845A8A"/>
    <w:rsid w:val="00850902"/>
    <w:rsid w:val="0087010D"/>
    <w:rsid w:val="0087512A"/>
    <w:rsid w:val="008D3B09"/>
    <w:rsid w:val="0091318C"/>
    <w:rsid w:val="00915809"/>
    <w:rsid w:val="00926754"/>
    <w:rsid w:val="00932855"/>
    <w:rsid w:val="009517DF"/>
    <w:rsid w:val="00955EB4"/>
    <w:rsid w:val="00960A1D"/>
    <w:rsid w:val="009879B6"/>
    <w:rsid w:val="0099378A"/>
    <w:rsid w:val="009C2ED7"/>
    <w:rsid w:val="009D2766"/>
    <w:rsid w:val="009E545E"/>
    <w:rsid w:val="00A12042"/>
    <w:rsid w:val="00A50BC7"/>
    <w:rsid w:val="00A675AE"/>
    <w:rsid w:val="00A924FD"/>
    <w:rsid w:val="00AC0CA9"/>
    <w:rsid w:val="00B0170E"/>
    <w:rsid w:val="00B031D9"/>
    <w:rsid w:val="00B04D6D"/>
    <w:rsid w:val="00B2281C"/>
    <w:rsid w:val="00B50995"/>
    <w:rsid w:val="00B81B9E"/>
    <w:rsid w:val="00BC435C"/>
    <w:rsid w:val="00BD0845"/>
    <w:rsid w:val="00C13CFE"/>
    <w:rsid w:val="00C41438"/>
    <w:rsid w:val="00C76846"/>
    <w:rsid w:val="00CA1F53"/>
    <w:rsid w:val="00CA32D0"/>
    <w:rsid w:val="00CB57D4"/>
    <w:rsid w:val="00D10F9E"/>
    <w:rsid w:val="00D26253"/>
    <w:rsid w:val="00D34F01"/>
    <w:rsid w:val="00D35361"/>
    <w:rsid w:val="00D541B4"/>
    <w:rsid w:val="00D630FB"/>
    <w:rsid w:val="00D8283B"/>
    <w:rsid w:val="00D930B7"/>
    <w:rsid w:val="00DB7473"/>
    <w:rsid w:val="00E14C6C"/>
    <w:rsid w:val="00E339A0"/>
    <w:rsid w:val="00E444BA"/>
    <w:rsid w:val="00E45CE7"/>
    <w:rsid w:val="00E92F93"/>
    <w:rsid w:val="00EA7253"/>
    <w:rsid w:val="00ED7B4E"/>
    <w:rsid w:val="00EE1F1A"/>
    <w:rsid w:val="00F01B6C"/>
    <w:rsid w:val="00F65981"/>
    <w:rsid w:val="00F8427B"/>
    <w:rsid w:val="00FC5197"/>
    <w:rsid w:val="00FC5FC6"/>
    <w:rsid w:val="00FD45D0"/>
    <w:rsid w:val="00FD5509"/>
    <w:rsid w:val="00FF09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842DE"/>
  <w15:chartTrackingRefBased/>
  <w15:docId w15:val="{A44F4D30-CFEF-4673-9109-B4A2A452D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9D7"/>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F09D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FF09D7"/>
    <w:pPr>
      <w:widowControl w:val="0"/>
      <w:autoSpaceDE w:val="0"/>
      <w:autoSpaceDN w:val="0"/>
    </w:pPr>
    <w:rPr>
      <w:rFonts w:ascii="Carlito" w:eastAsia="Carlito" w:hAnsi="Carlito" w:cs="Carlito"/>
      <w:sz w:val="22"/>
      <w:szCs w:val="22"/>
      <w:lang w:val="bs" w:eastAsia="en-US"/>
    </w:rPr>
  </w:style>
  <w:style w:type="paragraph" w:styleId="Tekstbalonia">
    <w:name w:val="Balloon Text"/>
    <w:basedOn w:val="Normal"/>
    <w:link w:val="TekstbaloniaChar"/>
    <w:uiPriority w:val="99"/>
    <w:semiHidden/>
    <w:unhideWhenUsed/>
    <w:rsid w:val="0000207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0207F"/>
    <w:rPr>
      <w:rFonts w:ascii="Segoe UI" w:eastAsia="Times New Roman" w:hAnsi="Segoe UI" w:cs="Segoe UI"/>
      <w:sz w:val="18"/>
      <w:szCs w:val="18"/>
      <w:lang w:eastAsia="hr-HR"/>
    </w:rPr>
  </w:style>
  <w:style w:type="paragraph" w:styleId="Odlomakpopisa">
    <w:name w:val="List Paragraph"/>
    <w:basedOn w:val="Normal"/>
    <w:uiPriority w:val="34"/>
    <w:qFormat/>
    <w:rsid w:val="003165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06E0-9B3A-4629-AA55-60384ADA6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1721</Words>
  <Characters>9816</Characters>
  <Application>Microsoft Office Word</Application>
  <DocSecurity>0</DocSecurity>
  <Lines>81</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Zita Gulić</cp:lastModifiedBy>
  <cp:revision>5</cp:revision>
  <cp:lastPrinted>2022-11-04T07:35:00Z</cp:lastPrinted>
  <dcterms:created xsi:type="dcterms:W3CDTF">2024-12-13T09:42:00Z</dcterms:created>
  <dcterms:modified xsi:type="dcterms:W3CDTF">2024-12-13T10:17:00Z</dcterms:modified>
</cp:coreProperties>
</file>